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2AE0" w14:textId="77777777" w:rsidR="00954261" w:rsidRDefault="00A50F87">
      <w:pPr>
        <w:widowControl w:val="0"/>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1030B71C" w14:textId="77777777" w:rsidR="00954261" w:rsidRDefault="00A50F87">
      <w:pPr>
        <w:widowControl w:val="0"/>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37ED57A8" w14:textId="77777777" w:rsidR="00954261" w:rsidRDefault="00A50F87">
      <w:pPr>
        <w:jc w:val="right"/>
        <w:rPr>
          <w:rFonts w:ascii="All Round Gothic Semi" w:hAnsi="All Round Gothic Semi"/>
          <w:color w:val="0070C0"/>
          <w:sz w:val="48"/>
          <w:szCs w:val="48"/>
          <w:lang w:eastAsia="fr-FR"/>
        </w:rPr>
      </w:pPr>
      <w:r>
        <w:rPr>
          <w:rFonts w:ascii="All Round Gothic Semi" w:hAnsi="All Round Gothic Semi"/>
          <w:color w:val="0070C0"/>
          <w:sz w:val="48"/>
          <w:szCs w:val="48"/>
          <w:lang w:eastAsia="fr-FR"/>
        </w:rPr>
        <w:t>Instructions relatives au recrutement mutualisé d’élèves-ingénieurs à l’international</w:t>
      </w:r>
    </w:p>
    <w:p w14:paraId="2748A17F" w14:textId="77777777" w:rsidR="00954261" w:rsidRDefault="00954261">
      <w:pPr>
        <w:keepNext/>
        <w:widowControl w:val="0"/>
        <w:spacing w:after="0" w:line="240" w:lineRule="auto"/>
        <w:ind w:left="851" w:right="851"/>
        <w:outlineLvl w:val="2"/>
        <w:rPr>
          <w:rFonts w:ascii="All Round Gothic Semi" w:eastAsia="Times New Roman" w:hAnsi="All Round Gothic Semi" w:cs="Times New Roman"/>
          <w:b/>
          <w:bCs/>
          <w:color w:val="0070C0"/>
          <w:sz w:val="48"/>
          <w:szCs w:val="48"/>
          <w:lang w:eastAsia="fr-FR"/>
        </w:rPr>
      </w:pPr>
    </w:p>
    <w:p w14:paraId="28685A55" w14:textId="77777777" w:rsidR="00954261" w:rsidRDefault="00A50F87">
      <w:pPr>
        <w:widowControl w:val="0"/>
        <w:spacing w:after="120" w:line="240" w:lineRule="auto"/>
        <w:rPr>
          <w:rFonts w:ascii="All Round Gothic Semi" w:eastAsia="Times New Roman" w:hAnsi="All Round Gothic Semi" w:cs="Times New Roman"/>
          <w:color w:val="0070C0"/>
          <w:sz w:val="48"/>
          <w:szCs w:val="48"/>
          <w:lang w:eastAsia="fr-FR"/>
        </w:rPr>
      </w:pPr>
      <w:r>
        <w:rPr>
          <w:rFonts w:ascii="All Round Gothic Semi" w:eastAsia="Times New Roman" w:hAnsi="All Round Gothic Semi" w:cs="Times New Roman"/>
          <w:color w:val="0070C0"/>
          <w:sz w:val="48"/>
          <w:szCs w:val="48"/>
          <w:lang w:eastAsia="fr-FR"/>
        </w:rPr>
        <w:t> </w:t>
      </w:r>
    </w:p>
    <w:p w14:paraId="465E3683" w14:textId="77777777" w:rsidR="00954261" w:rsidRDefault="00A50F87">
      <w:pPr>
        <w:rPr>
          <w:rFonts w:ascii="All Round Gothic Semi" w:hAnsi="All Round Gothic Semi"/>
          <w:color w:val="0070C0"/>
          <w:sz w:val="48"/>
          <w:szCs w:val="48"/>
          <w:lang w:eastAsia="fr-FR"/>
        </w:rPr>
      </w:pPr>
      <w:r>
        <w:rPr>
          <w:rFonts w:ascii="All Round Gothic Semi" w:hAnsi="All Round Gothic Semi"/>
          <w:color w:val="0070C0"/>
          <w:sz w:val="48"/>
          <w:szCs w:val="48"/>
          <w:lang w:eastAsia="fr-FR"/>
        </w:rPr>
        <w:t>AgreenMob</w:t>
      </w:r>
    </w:p>
    <w:p w14:paraId="275E0BF2" w14:textId="77777777" w:rsidR="00954261" w:rsidRDefault="00A50F87">
      <w:pPr>
        <w:rPr>
          <w:rFonts w:ascii="All Round Gothic Semi" w:hAnsi="All Round Gothic Semi"/>
          <w:color w:val="0070C0"/>
          <w:sz w:val="48"/>
          <w:szCs w:val="48"/>
          <w:lang w:eastAsia="fr-FR"/>
        </w:rPr>
      </w:pPr>
      <w:r>
        <w:rPr>
          <w:rFonts w:ascii="All Round Gothic Semi" w:hAnsi="All Round Gothic Semi"/>
          <w:color w:val="0070C0"/>
          <w:sz w:val="48"/>
          <w:szCs w:val="48"/>
          <w:lang w:eastAsia="fr-FR"/>
        </w:rPr>
        <w:t>Programme de mobilité étudiante</w:t>
      </w:r>
    </w:p>
    <w:p w14:paraId="5DFCF9E9" w14:textId="77777777" w:rsidR="00954261" w:rsidRDefault="00A50F87">
      <w:pPr>
        <w:rPr>
          <w:rFonts w:ascii="All Round Gothic Semi" w:hAnsi="All Round Gothic Semi"/>
          <w:color w:val="0EA242"/>
          <w:sz w:val="48"/>
          <w:szCs w:val="48"/>
          <w:lang w:eastAsia="fr-FR"/>
        </w:rPr>
      </w:pPr>
      <w:r>
        <w:rPr>
          <w:rFonts w:ascii="All Round Gothic Semi" w:hAnsi="All Round Gothic Semi"/>
          <w:color w:val="0070C0"/>
          <w:sz w:val="48"/>
          <w:szCs w:val="48"/>
          <w:lang w:eastAsia="fr-FR"/>
        </w:rPr>
        <w:t>Sénégal - SESSION 2025</w:t>
      </w:r>
    </w:p>
    <w:p w14:paraId="4D0C45EC" w14:textId="77777777" w:rsidR="00954261" w:rsidRDefault="00A50F87">
      <w:pPr>
        <w:keepLines/>
        <w:widowControl w:val="0"/>
        <w:spacing w:after="0" w:line="240" w:lineRule="auto"/>
        <w:rPr>
          <w:rFonts w:ascii="Times New Roman" w:eastAsia="Times New Roman" w:hAnsi="Times New Roman" w:cs="Times New Roman"/>
          <w:sz w:val="52"/>
          <w:szCs w:val="52"/>
          <w:lang w:eastAsia="fr-FR"/>
        </w:rPr>
      </w:pPr>
      <w:r>
        <w:rPr>
          <w:rFonts w:ascii="Times New Roman" w:eastAsia="Times New Roman" w:hAnsi="Times New Roman" w:cs="Times New Roman"/>
          <w:sz w:val="52"/>
          <w:szCs w:val="52"/>
          <w:lang w:eastAsia="fr-FR"/>
        </w:rPr>
        <w:t> </w:t>
      </w:r>
    </w:p>
    <w:p w14:paraId="6AE34640"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2C0AE516"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39033CC2"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4C3EA80E"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1AC2092A"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20E64F33"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3E79212F" w14:textId="77777777" w:rsidR="00954261" w:rsidRDefault="00954261">
      <w:pPr>
        <w:keepLines/>
        <w:widowControl w:val="0"/>
        <w:spacing w:after="0" w:line="240" w:lineRule="auto"/>
        <w:rPr>
          <w:rFonts w:ascii="Times New Roman" w:eastAsia="Times New Roman" w:hAnsi="Times New Roman" w:cs="Times New Roman"/>
          <w:sz w:val="24"/>
          <w:szCs w:val="24"/>
          <w:lang w:eastAsia="fr-FR"/>
        </w:rPr>
      </w:pPr>
    </w:p>
    <w:p w14:paraId="47FAD0C1"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7C275D4B" w14:textId="77777777" w:rsidR="00954261" w:rsidRDefault="00A50F87">
      <w:pPr>
        <w:keepLines/>
        <w:widowControl w:val="0"/>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0D32F6A4" w14:textId="77777777" w:rsidR="00954261" w:rsidRDefault="00A50F87">
      <w:pPr>
        <w:keepLines/>
        <w:widowControl w:val="0"/>
        <w:spacing w:after="0" w:line="276" w:lineRule="auto"/>
        <w:jc w:val="both"/>
        <w:rPr>
          <w:rFonts w:eastAsia="Times New Roman" w:cstheme="minorHAnsi"/>
          <w:b/>
          <w:bCs/>
          <w:lang w:eastAsia="fr-FR"/>
        </w:rPr>
      </w:pPr>
      <w:r>
        <w:rPr>
          <w:rFonts w:eastAsia="Times New Roman" w:cstheme="minorHAnsi"/>
          <w:b/>
          <w:bCs/>
          <w:lang w:eastAsia="fr-FR"/>
        </w:rPr>
        <w:t>La présente notice vaut règlement du Programme AgreenMob. Elle est téléchargeable sur la page du site Agreenium dédiée au processus.</w:t>
      </w:r>
    </w:p>
    <w:p w14:paraId="772CB6BC" w14:textId="77777777" w:rsidR="00954261" w:rsidRDefault="00A50F87">
      <w:pPr>
        <w:keepLines/>
        <w:widowControl w:val="0"/>
        <w:spacing w:after="0" w:line="276" w:lineRule="auto"/>
        <w:jc w:val="both"/>
        <w:rPr>
          <w:rFonts w:eastAsia="Times New Roman" w:cstheme="minorHAnsi"/>
          <w:lang w:eastAsia="fr-FR"/>
        </w:rPr>
      </w:pPr>
      <w:r>
        <w:rPr>
          <w:rFonts w:eastAsia="Times New Roman" w:cstheme="minorHAnsi"/>
          <w:lang w:eastAsia="fr-FR"/>
        </w:rPr>
        <w:t> </w:t>
      </w:r>
    </w:p>
    <w:p w14:paraId="096B3D3E" w14:textId="77777777" w:rsidR="00954261" w:rsidRDefault="00A50F87">
      <w:pPr>
        <w:widowControl w:val="0"/>
        <w:spacing w:after="0" w:line="276" w:lineRule="auto"/>
        <w:jc w:val="both"/>
        <w:rPr>
          <w:rFonts w:eastAsia="Times New Roman" w:cstheme="minorHAnsi"/>
          <w:lang w:eastAsia="fr-FR"/>
        </w:rPr>
      </w:pPr>
      <w:r>
        <w:rPr>
          <w:rFonts w:eastAsia="Times New Roman" w:cstheme="minorHAnsi"/>
          <w:lang w:eastAsia="fr-FR"/>
        </w:rPr>
        <w:t>Chaque candidat s’engage, par sa participation au programme AgreenMob, à se conformer aux présentes instructions et à toutes les décisions de la commission AgreenMob. Toute infraction au règlement soit dans les renseignements fournis lors de l’inscription, soit au cours des épreuves peut donner lieu à des sanctions allant jusqu’à la nullité de l’inscription et donc la perte de tout droit ou avantage obtenu (y inclus l’admission dans une école en particulier), ou l’interdiction de s’inscrire à une nouvelle session du programme AgreenMob.</w:t>
      </w:r>
    </w:p>
    <w:p w14:paraId="72191936" w14:textId="77777777" w:rsidR="00954261" w:rsidRDefault="00A50F87">
      <w:pPr>
        <w:widowControl w:val="0"/>
        <w:spacing w:line="276" w:lineRule="auto"/>
        <w:rPr>
          <w:rFonts w:eastAsia="Times New Roman" w:cstheme="minorHAnsi"/>
          <w:lang w:eastAsia="fr-FR"/>
        </w:rPr>
      </w:pPr>
      <w:r>
        <w:rPr>
          <w:rFonts w:eastAsia="Times New Roman" w:cstheme="minorHAnsi"/>
          <w:lang w:eastAsia="fr-FR"/>
        </w:rPr>
        <w:t> </w:t>
      </w:r>
    </w:p>
    <w:p w14:paraId="47E91478" w14:textId="77777777" w:rsidR="00954261" w:rsidRDefault="00A50F87">
      <w:pPr>
        <w:widowControl w:val="0"/>
        <w:spacing w:line="276" w:lineRule="auto"/>
        <w:jc w:val="center"/>
        <w:rPr>
          <w:rFonts w:eastAsia="Times New Roman" w:cstheme="minorHAnsi"/>
          <w:lang w:eastAsia="fr-FR"/>
        </w:rPr>
      </w:pPr>
      <w:r>
        <w:rPr>
          <w:rFonts w:eastAsia="Times New Roman" w:cstheme="minorHAnsi"/>
          <w:b/>
          <w:bCs/>
          <w:lang w:eastAsia="fr-FR"/>
        </w:rPr>
        <w:t>EN CAS DE FORCE MAJEURE, LE CALENDRIER DU PROGRAMME AGREENMOB POURRA ÊTRE MODIFIÉ.</w:t>
      </w:r>
    </w:p>
    <w:p w14:paraId="53C31024" w14:textId="77777777" w:rsidR="00954261" w:rsidRDefault="00A50F87">
      <w:pPr>
        <w:pStyle w:val="En-ttedetabledesmatires"/>
        <w:rPr>
          <w:rFonts w:ascii="Trebuchet MS" w:eastAsia="Times New Roman" w:hAnsi="Trebuchet MS" w:cs="Times New Roman"/>
          <w:b/>
          <w:bCs/>
          <w:color w:val="000000"/>
          <w:sz w:val="20"/>
          <w:szCs w:val="20"/>
          <w:lang w:eastAsia="fr-FR"/>
        </w:rPr>
      </w:pPr>
      <w:r>
        <w:rPr>
          <w:rFonts w:ascii="All Round Gothic Book" w:eastAsia="Times New Roman" w:hAnsi="All Round Gothic Book" w:cs="Times New Roman"/>
          <w:b/>
          <w:bCs/>
          <w:color w:val="000000"/>
          <w:sz w:val="20"/>
          <w:szCs w:val="20"/>
          <w:lang w:eastAsia="fr-FR"/>
        </w:rPr>
        <w:br w:type="page" w:clear="all"/>
      </w:r>
      <w:r>
        <w:rPr>
          <w:rFonts w:ascii="Trebuchet MS" w:eastAsia="Times New Roman" w:hAnsi="Trebuchet MS" w:cs="Times New Roman"/>
          <w:b/>
          <w:bCs/>
          <w:color w:val="000000"/>
          <w:sz w:val="20"/>
          <w:szCs w:val="20"/>
          <w:lang w:eastAsia="fr-FR"/>
        </w:rPr>
        <w:lastRenderedPageBreak/>
        <w:t> </w:t>
      </w:r>
    </w:p>
    <w:p w14:paraId="7D4F1907" w14:textId="77777777" w:rsidR="00954261" w:rsidRDefault="00954261"/>
    <w:p w14:paraId="5E802D95" w14:textId="77777777" w:rsidR="00954261" w:rsidRDefault="00954261">
      <w:pPr>
        <w:spacing w:line="276" w:lineRule="auto"/>
        <w:rPr>
          <w:rFonts w:ascii="Trebuchet MS" w:eastAsia="Times New Roman" w:hAnsi="Trebuchet MS" w:cs="Times New Roman"/>
          <w:b/>
          <w:bCs/>
          <w:color w:val="000000"/>
          <w:sz w:val="20"/>
          <w:szCs w:val="20"/>
          <w:lang w:eastAsia="fr-FR"/>
        </w:rPr>
      </w:pPr>
    </w:p>
    <w:sdt>
      <w:sdtPr>
        <w:rPr>
          <w:sz w:val="24"/>
        </w:rPr>
        <w:id w:val="1641842944"/>
        <w:docPartObj>
          <w:docPartGallery w:val="Table of Contents"/>
          <w:docPartUnique/>
        </w:docPartObj>
      </w:sdtPr>
      <w:sdtEndPr/>
      <w:sdtContent>
        <w:p w14:paraId="766199B2" w14:textId="77777777" w:rsidR="00954261" w:rsidRDefault="00A50F87">
          <w:pPr>
            <w:pStyle w:val="En-ttedetabledesmatires"/>
            <w:rPr>
              <w:rFonts w:ascii="All Round Gothic Book" w:hAnsi="All Round Gothic Book"/>
              <w:b/>
              <w:sz w:val="28"/>
            </w:rPr>
          </w:pPr>
          <w:r>
            <w:rPr>
              <w:rFonts w:ascii="All Round Gothic Book" w:hAnsi="All Round Gothic Book"/>
              <w:b/>
              <w:sz w:val="28"/>
            </w:rPr>
            <w:t>Table des matières</w:t>
          </w:r>
        </w:p>
        <w:p w14:paraId="19524970" w14:textId="77777777" w:rsidR="00954261" w:rsidRDefault="00A50F87">
          <w:pPr>
            <w:pStyle w:val="TM1"/>
            <w:tabs>
              <w:tab w:val="left" w:pos="567"/>
              <w:tab w:val="right" w:leader="dot" w:pos="9628"/>
            </w:tabs>
            <w:rPr>
              <w:rFonts w:eastAsiaTheme="minorEastAsia"/>
              <w:lang w:eastAsia="fr-FR"/>
            </w:rPr>
          </w:pPr>
          <w:r>
            <w:fldChar w:fldCharType="begin"/>
          </w:r>
          <w:r>
            <w:instrText xml:space="preserve"> TOC \o "1-3" \h \z \u </w:instrText>
          </w:r>
          <w:r>
            <w:fldChar w:fldCharType="separate"/>
          </w:r>
          <w:hyperlink w:anchor="_Toc178348958" w:tooltip="#_Toc178348958" w:history="1">
            <w:r>
              <w:rPr>
                <w:rStyle w:val="Lienhypertexte"/>
              </w:rPr>
              <w:t>1.</w:t>
            </w:r>
            <w:r>
              <w:rPr>
                <w:rFonts w:eastAsiaTheme="minorEastAsia"/>
                <w:lang w:eastAsia="fr-FR"/>
              </w:rPr>
              <w:tab/>
            </w:r>
            <w:r>
              <w:rPr>
                <w:rStyle w:val="Lienhypertexte"/>
              </w:rPr>
              <w:t>CONDITIONS D’INSCRIPTION ET ÉCOLES PRÉSENTÉES</w:t>
            </w:r>
            <w:r>
              <w:tab/>
            </w:r>
            <w:r>
              <w:fldChar w:fldCharType="begin"/>
            </w:r>
            <w:r>
              <w:instrText xml:space="preserve"> PAGEREF _Toc178348958 \h </w:instrText>
            </w:r>
            <w:r>
              <w:fldChar w:fldCharType="separate"/>
            </w:r>
            <w:r>
              <w:t>3</w:t>
            </w:r>
            <w:r>
              <w:fldChar w:fldCharType="end"/>
            </w:r>
          </w:hyperlink>
        </w:p>
        <w:p w14:paraId="04D80643" w14:textId="77777777" w:rsidR="00954261" w:rsidRDefault="00315A49">
          <w:pPr>
            <w:pStyle w:val="TM2"/>
            <w:tabs>
              <w:tab w:val="left" w:pos="850"/>
              <w:tab w:val="right" w:leader="dot" w:pos="9628"/>
            </w:tabs>
            <w:rPr>
              <w:rFonts w:eastAsiaTheme="minorEastAsia"/>
              <w:lang w:eastAsia="fr-FR"/>
            </w:rPr>
          </w:pPr>
          <w:hyperlink w:anchor="_Toc178348959" w:tooltip="#_Toc178348959" w:history="1">
            <w:r w:rsidR="00A50F87">
              <w:rPr>
                <w:rStyle w:val="Lienhypertexte"/>
              </w:rPr>
              <w:t>1.1.</w:t>
            </w:r>
            <w:r w:rsidR="00A50F87">
              <w:rPr>
                <w:rFonts w:eastAsiaTheme="minorEastAsia"/>
                <w:lang w:eastAsia="fr-FR"/>
              </w:rPr>
              <w:tab/>
            </w:r>
            <w:r w:rsidR="00A50F87">
              <w:rPr>
                <w:rStyle w:val="Lienhypertexte"/>
              </w:rPr>
              <w:t>CONDITIONS D’INSCRIPTION AU PROGRAMME AGREENMOB</w:t>
            </w:r>
            <w:r w:rsidR="00A50F87">
              <w:tab/>
            </w:r>
            <w:r w:rsidR="00A50F87">
              <w:fldChar w:fldCharType="begin"/>
            </w:r>
            <w:r w:rsidR="00A50F87">
              <w:instrText xml:space="preserve"> PAGEREF _Toc178348959 \h </w:instrText>
            </w:r>
            <w:r w:rsidR="00A50F87">
              <w:fldChar w:fldCharType="separate"/>
            </w:r>
            <w:r w:rsidR="00A50F87">
              <w:t>3</w:t>
            </w:r>
            <w:r w:rsidR="00A50F87">
              <w:fldChar w:fldCharType="end"/>
            </w:r>
          </w:hyperlink>
        </w:p>
        <w:p w14:paraId="6E74F122" w14:textId="77777777" w:rsidR="00954261" w:rsidRDefault="00315A49">
          <w:pPr>
            <w:pStyle w:val="TM2"/>
            <w:tabs>
              <w:tab w:val="left" w:pos="850"/>
              <w:tab w:val="right" w:leader="dot" w:pos="9628"/>
            </w:tabs>
            <w:rPr>
              <w:rFonts w:eastAsiaTheme="minorEastAsia"/>
              <w:lang w:eastAsia="fr-FR"/>
            </w:rPr>
          </w:pPr>
          <w:hyperlink w:anchor="_Toc178348960" w:tooltip="#_Toc178348960" w:history="1">
            <w:r w:rsidR="00A50F87">
              <w:rPr>
                <w:rStyle w:val="Lienhypertexte"/>
              </w:rPr>
              <w:t>1.2.</w:t>
            </w:r>
            <w:r w:rsidR="00A50F87">
              <w:rPr>
                <w:rFonts w:eastAsiaTheme="minorEastAsia"/>
                <w:lang w:eastAsia="fr-FR"/>
              </w:rPr>
              <w:tab/>
            </w:r>
            <w:r w:rsidR="00A50F87">
              <w:rPr>
                <w:rStyle w:val="Lienhypertexte"/>
              </w:rPr>
              <w:t>ÉCOLES PRÉSENTÉES</w:t>
            </w:r>
            <w:r w:rsidR="00A50F87">
              <w:tab/>
            </w:r>
            <w:r w:rsidR="00A50F87">
              <w:fldChar w:fldCharType="begin"/>
            </w:r>
            <w:r w:rsidR="00A50F87">
              <w:instrText xml:space="preserve"> PAGEREF _Toc178348960 \h </w:instrText>
            </w:r>
            <w:r w:rsidR="00A50F87">
              <w:fldChar w:fldCharType="separate"/>
            </w:r>
            <w:r w:rsidR="00A50F87">
              <w:t>3</w:t>
            </w:r>
            <w:r w:rsidR="00A50F87">
              <w:fldChar w:fldCharType="end"/>
            </w:r>
          </w:hyperlink>
        </w:p>
        <w:p w14:paraId="1753996B" w14:textId="77777777" w:rsidR="00954261" w:rsidRDefault="00315A49">
          <w:pPr>
            <w:pStyle w:val="TM2"/>
            <w:tabs>
              <w:tab w:val="left" w:pos="850"/>
              <w:tab w:val="right" w:leader="dot" w:pos="9628"/>
            </w:tabs>
            <w:rPr>
              <w:rFonts w:eastAsiaTheme="minorEastAsia"/>
              <w:lang w:eastAsia="fr-FR"/>
            </w:rPr>
          </w:pPr>
          <w:hyperlink w:anchor="_Toc178348961" w:tooltip="#_Toc178348961" w:history="1">
            <w:r w:rsidR="00A50F87">
              <w:rPr>
                <w:rStyle w:val="Lienhypertexte"/>
              </w:rPr>
              <w:t>1.3.</w:t>
            </w:r>
            <w:r w:rsidR="00A50F87">
              <w:rPr>
                <w:rFonts w:eastAsiaTheme="minorEastAsia"/>
                <w:lang w:eastAsia="fr-FR"/>
              </w:rPr>
              <w:tab/>
            </w:r>
            <w:r w:rsidR="00A50F87">
              <w:rPr>
                <w:rStyle w:val="Lienhypertexte"/>
              </w:rPr>
              <w:t>LISTE DE VŒUX</w:t>
            </w:r>
            <w:r w:rsidR="00A50F87">
              <w:tab/>
            </w:r>
            <w:r w:rsidR="00A50F87">
              <w:fldChar w:fldCharType="begin"/>
            </w:r>
            <w:r w:rsidR="00A50F87">
              <w:instrText xml:space="preserve"> PAGEREF _Toc178348961 \h </w:instrText>
            </w:r>
            <w:r w:rsidR="00A50F87">
              <w:fldChar w:fldCharType="separate"/>
            </w:r>
            <w:r w:rsidR="00A50F87">
              <w:t>3</w:t>
            </w:r>
            <w:r w:rsidR="00A50F87">
              <w:fldChar w:fldCharType="end"/>
            </w:r>
          </w:hyperlink>
        </w:p>
        <w:p w14:paraId="7D315F48" w14:textId="77777777" w:rsidR="00954261" w:rsidRDefault="00315A49">
          <w:pPr>
            <w:pStyle w:val="TM1"/>
            <w:tabs>
              <w:tab w:val="left" w:pos="567"/>
              <w:tab w:val="right" w:leader="dot" w:pos="9628"/>
            </w:tabs>
            <w:rPr>
              <w:rFonts w:eastAsiaTheme="minorEastAsia"/>
              <w:lang w:eastAsia="fr-FR"/>
            </w:rPr>
          </w:pPr>
          <w:hyperlink w:anchor="_Toc178348962" w:tooltip="#_Toc178348962" w:history="1">
            <w:r w:rsidR="00A50F87">
              <w:rPr>
                <w:rStyle w:val="Lienhypertexte"/>
              </w:rPr>
              <w:t>2.</w:t>
            </w:r>
            <w:r w:rsidR="00A50F87">
              <w:rPr>
                <w:rFonts w:eastAsiaTheme="minorEastAsia"/>
                <w:lang w:eastAsia="fr-FR"/>
              </w:rPr>
              <w:tab/>
            </w:r>
            <w:r w:rsidR="00A50F87">
              <w:rPr>
                <w:rStyle w:val="Lienhypertexte"/>
              </w:rPr>
              <w:t>ÉPREUVES</w:t>
            </w:r>
            <w:r w:rsidR="00A50F87">
              <w:tab/>
            </w:r>
            <w:r w:rsidR="00A50F87">
              <w:fldChar w:fldCharType="begin"/>
            </w:r>
            <w:r w:rsidR="00A50F87">
              <w:instrText xml:space="preserve"> PAGEREF _Toc178348962 \h </w:instrText>
            </w:r>
            <w:r w:rsidR="00A50F87">
              <w:fldChar w:fldCharType="separate"/>
            </w:r>
            <w:r w:rsidR="00A50F87">
              <w:t>4</w:t>
            </w:r>
            <w:r w:rsidR="00A50F87">
              <w:fldChar w:fldCharType="end"/>
            </w:r>
          </w:hyperlink>
        </w:p>
        <w:p w14:paraId="6A213CF2" w14:textId="77777777" w:rsidR="00954261" w:rsidRDefault="00315A49">
          <w:pPr>
            <w:pStyle w:val="TM2"/>
            <w:tabs>
              <w:tab w:val="left" w:pos="850"/>
              <w:tab w:val="right" w:leader="dot" w:pos="9628"/>
            </w:tabs>
            <w:rPr>
              <w:rFonts w:eastAsiaTheme="minorEastAsia"/>
              <w:lang w:eastAsia="fr-FR"/>
            </w:rPr>
          </w:pPr>
          <w:hyperlink w:anchor="_Toc178348963" w:tooltip="#_Toc178348963" w:history="1">
            <w:r w:rsidR="00A50F87">
              <w:rPr>
                <w:rStyle w:val="Lienhypertexte"/>
              </w:rPr>
              <w:t>2.1.</w:t>
            </w:r>
            <w:r w:rsidR="00A50F87">
              <w:rPr>
                <w:rFonts w:eastAsiaTheme="minorEastAsia"/>
                <w:lang w:eastAsia="fr-FR"/>
              </w:rPr>
              <w:tab/>
            </w:r>
            <w:r w:rsidR="00A50F87">
              <w:rPr>
                <w:rStyle w:val="Lienhypertexte"/>
              </w:rPr>
              <w:t>ADMISSIBILITÉ</w:t>
            </w:r>
            <w:r w:rsidR="00A50F87">
              <w:tab/>
            </w:r>
            <w:r w:rsidR="00A50F87">
              <w:fldChar w:fldCharType="begin"/>
            </w:r>
            <w:r w:rsidR="00A50F87">
              <w:instrText xml:space="preserve"> PAGEREF _Toc178348963 \h </w:instrText>
            </w:r>
            <w:r w:rsidR="00A50F87">
              <w:fldChar w:fldCharType="separate"/>
            </w:r>
            <w:r w:rsidR="00A50F87">
              <w:t>4</w:t>
            </w:r>
            <w:r w:rsidR="00A50F87">
              <w:fldChar w:fldCharType="end"/>
            </w:r>
          </w:hyperlink>
        </w:p>
        <w:p w14:paraId="182C106B" w14:textId="77777777" w:rsidR="00954261" w:rsidRDefault="00315A49">
          <w:pPr>
            <w:pStyle w:val="TM2"/>
            <w:tabs>
              <w:tab w:val="left" w:pos="850"/>
              <w:tab w:val="right" w:leader="dot" w:pos="9628"/>
            </w:tabs>
            <w:rPr>
              <w:rFonts w:eastAsiaTheme="minorEastAsia"/>
              <w:lang w:eastAsia="fr-FR"/>
            </w:rPr>
          </w:pPr>
          <w:hyperlink w:anchor="_Toc178348964" w:tooltip="#_Toc178348964" w:history="1">
            <w:r w:rsidR="00A50F87">
              <w:rPr>
                <w:rStyle w:val="Lienhypertexte"/>
              </w:rPr>
              <w:t>2.2.</w:t>
            </w:r>
            <w:r w:rsidR="00A50F87">
              <w:rPr>
                <w:rFonts w:eastAsiaTheme="minorEastAsia"/>
                <w:lang w:eastAsia="fr-FR"/>
              </w:rPr>
              <w:tab/>
            </w:r>
            <w:r w:rsidR="00A50F87">
              <w:rPr>
                <w:rStyle w:val="Lienhypertexte"/>
              </w:rPr>
              <w:t>ADMISSION</w:t>
            </w:r>
            <w:r w:rsidR="00A50F87">
              <w:tab/>
            </w:r>
            <w:r w:rsidR="00A50F87">
              <w:fldChar w:fldCharType="begin"/>
            </w:r>
            <w:r w:rsidR="00A50F87">
              <w:instrText xml:space="preserve"> PAGEREF _Toc178348964 \h </w:instrText>
            </w:r>
            <w:r w:rsidR="00A50F87">
              <w:fldChar w:fldCharType="separate"/>
            </w:r>
            <w:r w:rsidR="00A50F87">
              <w:t>4</w:t>
            </w:r>
            <w:r w:rsidR="00A50F87">
              <w:fldChar w:fldCharType="end"/>
            </w:r>
          </w:hyperlink>
        </w:p>
        <w:p w14:paraId="6D7EA00D" w14:textId="77777777" w:rsidR="00954261" w:rsidRDefault="00315A49">
          <w:pPr>
            <w:pStyle w:val="TM1"/>
            <w:tabs>
              <w:tab w:val="left" w:pos="567"/>
              <w:tab w:val="right" w:leader="dot" w:pos="9628"/>
            </w:tabs>
            <w:rPr>
              <w:rFonts w:eastAsiaTheme="minorEastAsia"/>
              <w:lang w:eastAsia="fr-FR"/>
            </w:rPr>
          </w:pPr>
          <w:hyperlink w:anchor="_Toc178348965" w:tooltip="#_Toc178348965" w:history="1">
            <w:r w:rsidR="00A50F87">
              <w:rPr>
                <w:rStyle w:val="Lienhypertexte"/>
              </w:rPr>
              <w:t>3.</w:t>
            </w:r>
            <w:r w:rsidR="00A50F87">
              <w:rPr>
                <w:rFonts w:eastAsiaTheme="minorEastAsia"/>
                <w:lang w:eastAsia="fr-FR"/>
              </w:rPr>
              <w:tab/>
            </w:r>
            <w:r w:rsidR="00A50F87">
              <w:rPr>
                <w:rStyle w:val="Lienhypertexte"/>
              </w:rPr>
              <w:t>PROCÉDURE D’INSCRIPTION</w:t>
            </w:r>
            <w:r w:rsidR="00A50F87">
              <w:tab/>
            </w:r>
            <w:r w:rsidR="00A50F87">
              <w:fldChar w:fldCharType="begin"/>
            </w:r>
            <w:r w:rsidR="00A50F87">
              <w:instrText xml:space="preserve"> PAGEREF _Toc178348965 \h </w:instrText>
            </w:r>
            <w:r w:rsidR="00A50F87">
              <w:fldChar w:fldCharType="separate"/>
            </w:r>
            <w:r w:rsidR="00A50F87">
              <w:t>4</w:t>
            </w:r>
            <w:r w:rsidR="00A50F87">
              <w:fldChar w:fldCharType="end"/>
            </w:r>
          </w:hyperlink>
        </w:p>
        <w:p w14:paraId="2DCF01FE" w14:textId="77777777" w:rsidR="00954261" w:rsidRDefault="00315A49">
          <w:pPr>
            <w:pStyle w:val="TM2"/>
            <w:tabs>
              <w:tab w:val="left" w:pos="850"/>
              <w:tab w:val="right" w:leader="dot" w:pos="9628"/>
            </w:tabs>
            <w:rPr>
              <w:rFonts w:eastAsiaTheme="minorEastAsia"/>
              <w:lang w:eastAsia="fr-FR"/>
            </w:rPr>
          </w:pPr>
          <w:hyperlink w:anchor="_Toc178348966" w:tooltip="#_Toc178348966" w:history="1">
            <w:r w:rsidR="00A50F87">
              <w:rPr>
                <w:rStyle w:val="Lienhypertexte"/>
              </w:rPr>
              <w:t>3.1.</w:t>
            </w:r>
            <w:r w:rsidR="00A50F87">
              <w:rPr>
                <w:rFonts w:eastAsiaTheme="minorEastAsia"/>
                <w:lang w:eastAsia="fr-FR"/>
              </w:rPr>
              <w:tab/>
            </w:r>
            <w:r w:rsidR="00A50F87">
              <w:rPr>
                <w:rStyle w:val="Lienhypertexte"/>
              </w:rPr>
              <w:t>MODALITÉS D’INSCRIPTION</w:t>
            </w:r>
            <w:r w:rsidR="00A50F87">
              <w:tab/>
            </w:r>
            <w:r w:rsidR="00A50F87">
              <w:fldChar w:fldCharType="begin"/>
            </w:r>
            <w:r w:rsidR="00A50F87">
              <w:instrText xml:space="preserve"> PAGEREF _Toc178348966 \h </w:instrText>
            </w:r>
            <w:r w:rsidR="00A50F87">
              <w:fldChar w:fldCharType="separate"/>
            </w:r>
            <w:r w:rsidR="00A50F87">
              <w:t>4</w:t>
            </w:r>
            <w:r w:rsidR="00A50F87">
              <w:fldChar w:fldCharType="end"/>
            </w:r>
          </w:hyperlink>
        </w:p>
        <w:p w14:paraId="798C3D12" w14:textId="77777777" w:rsidR="00954261" w:rsidRDefault="00315A49">
          <w:pPr>
            <w:pStyle w:val="TM2"/>
            <w:tabs>
              <w:tab w:val="left" w:pos="850"/>
              <w:tab w:val="right" w:leader="dot" w:pos="9628"/>
            </w:tabs>
            <w:rPr>
              <w:rFonts w:eastAsiaTheme="minorEastAsia"/>
              <w:lang w:eastAsia="fr-FR"/>
            </w:rPr>
          </w:pPr>
          <w:hyperlink w:anchor="_Toc178348967" w:tooltip="#_Toc178348967" w:history="1">
            <w:r w:rsidR="00A50F87">
              <w:rPr>
                <w:rStyle w:val="Lienhypertexte"/>
              </w:rPr>
              <w:t>3.2.</w:t>
            </w:r>
            <w:r w:rsidR="00A50F87">
              <w:rPr>
                <w:rFonts w:eastAsiaTheme="minorEastAsia"/>
                <w:lang w:eastAsia="fr-FR"/>
              </w:rPr>
              <w:tab/>
            </w:r>
            <w:r w:rsidR="00A50F87">
              <w:rPr>
                <w:rStyle w:val="Lienhypertexte"/>
              </w:rPr>
              <w:t>DOCUMENTS À FOURNIR</w:t>
            </w:r>
            <w:r w:rsidR="00A50F87">
              <w:tab/>
            </w:r>
            <w:r w:rsidR="00A50F87">
              <w:fldChar w:fldCharType="begin"/>
            </w:r>
            <w:r w:rsidR="00A50F87">
              <w:instrText xml:space="preserve"> PAGEREF _Toc178348967 \h </w:instrText>
            </w:r>
            <w:r w:rsidR="00A50F87">
              <w:fldChar w:fldCharType="separate"/>
            </w:r>
            <w:r w:rsidR="00A50F87">
              <w:t>5</w:t>
            </w:r>
            <w:r w:rsidR="00A50F87">
              <w:fldChar w:fldCharType="end"/>
            </w:r>
          </w:hyperlink>
        </w:p>
        <w:p w14:paraId="140FC68A" w14:textId="77777777" w:rsidR="00954261" w:rsidRDefault="00315A49">
          <w:pPr>
            <w:pStyle w:val="TM1"/>
            <w:tabs>
              <w:tab w:val="left" w:pos="567"/>
              <w:tab w:val="right" w:leader="dot" w:pos="9628"/>
            </w:tabs>
            <w:rPr>
              <w:rFonts w:eastAsiaTheme="minorEastAsia"/>
              <w:lang w:eastAsia="fr-FR"/>
            </w:rPr>
          </w:pPr>
          <w:hyperlink w:anchor="_Toc178348968" w:tooltip="#_Toc178348968" w:history="1">
            <w:r w:rsidR="00A50F87">
              <w:rPr>
                <w:rStyle w:val="Lienhypertexte"/>
              </w:rPr>
              <w:t>4.</w:t>
            </w:r>
            <w:r w:rsidR="00A50F87">
              <w:rPr>
                <w:rFonts w:eastAsiaTheme="minorEastAsia"/>
                <w:lang w:eastAsia="fr-FR"/>
              </w:rPr>
              <w:tab/>
            </w:r>
            <w:r w:rsidR="00A50F87">
              <w:rPr>
                <w:rStyle w:val="Lienhypertexte"/>
              </w:rPr>
              <w:t>ORGANISATION DES EPREUVES DU PROGRAMME AGREENMOB</w:t>
            </w:r>
            <w:r w:rsidR="00A50F87">
              <w:tab/>
            </w:r>
            <w:r w:rsidR="00A50F87">
              <w:fldChar w:fldCharType="begin"/>
            </w:r>
            <w:r w:rsidR="00A50F87">
              <w:instrText xml:space="preserve"> PAGEREF _Toc178348968 \h </w:instrText>
            </w:r>
            <w:r w:rsidR="00A50F87">
              <w:fldChar w:fldCharType="separate"/>
            </w:r>
            <w:r w:rsidR="00A50F87">
              <w:t>5</w:t>
            </w:r>
            <w:r w:rsidR="00A50F87">
              <w:fldChar w:fldCharType="end"/>
            </w:r>
          </w:hyperlink>
        </w:p>
        <w:p w14:paraId="3C405E4C" w14:textId="77777777" w:rsidR="00954261" w:rsidRDefault="00315A49">
          <w:pPr>
            <w:pStyle w:val="TM2"/>
            <w:tabs>
              <w:tab w:val="left" w:pos="850"/>
              <w:tab w:val="right" w:leader="dot" w:pos="9628"/>
            </w:tabs>
            <w:rPr>
              <w:rFonts w:eastAsiaTheme="minorEastAsia"/>
              <w:lang w:eastAsia="fr-FR"/>
            </w:rPr>
          </w:pPr>
          <w:hyperlink w:anchor="_Toc178348969" w:tooltip="#_Toc178348969" w:history="1">
            <w:r w:rsidR="00A50F87">
              <w:rPr>
                <w:rStyle w:val="Lienhypertexte"/>
              </w:rPr>
              <w:t>4.1.</w:t>
            </w:r>
            <w:r w:rsidR="00A50F87">
              <w:rPr>
                <w:rFonts w:eastAsiaTheme="minorEastAsia"/>
                <w:lang w:eastAsia="fr-FR"/>
              </w:rPr>
              <w:tab/>
            </w:r>
            <w:r w:rsidR="00A50F87">
              <w:rPr>
                <w:rStyle w:val="Lienhypertexte"/>
              </w:rPr>
              <w:t>ADMISSIBILITÉ ET ADMISSION</w:t>
            </w:r>
            <w:r w:rsidR="00A50F87">
              <w:tab/>
            </w:r>
            <w:r w:rsidR="00A50F87">
              <w:fldChar w:fldCharType="begin"/>
            </w:r>
            <w:r w:rsidR="00A50F87">
              <w:instrText xml:space="preserve"> PAGEREF _Toc178348969 \h </w:instrText>
            </w:r>
            <w:r w:rsidR="00A50F87">
              <w:fldChar w:fldCharType="separate"/>
            </w:r>
            <w:r w:rsidR="00A50F87">
              <w:t>5</w:t>
            </w:r>
            <w:r w:rsidR="00A50F87">
              <w:fldChar w:fldCharType="end"/>
            </w:r>
          </w:hyperlink>
        </w:p>
        <w:p w14:paraId="0C6E4C00" w14:textId="77777777" w:rsidR="00954261" w:rsidRDefault="00315A49">
          <w:pPr>
            <w:pStyle w:val="TM2"/>
            <w:tabs>
              <w:tab w:val="left" w:pos="850"/>
              <w:tab w:val="right" w:leader="dot" w:pos="9628"/>
            </w:tabs>
            <w:rPr>
              <w:rFonts w:eastAsiaTheme="minorEastAsia"/>
              <w:lang w:eastAsia="fr-FR"/>
            </w:rPr>
          </w:pPr>
          <w:hyperlink w:anchor="_Toc178348970" w:tooltip="#_Toc178348970" w:history="1">
            <w:r w:rsidR="00A50F87">
              <w:rPr>
                <w:rStyle w:val="Lienhypertexte"/>
              </w:rPr>
              <w:t>4.2.</w:t>
            </w:r>
            <w:r w:rsidR="00A50F87">
              <w:rPr>
                <w:rFonts w:eastAsiaTheme="minorEastAsia"/>
                <w:lang w:eastAsia="fr-FR"/>
              </w:rPr>
              <w:tab/>
            </w:r>
            <w:r w:rsidR="00A50F87">
              <w:rPr>
                <w:rStyle w:val="Lienhypertexte"/>
              </w:rPr>
              <w:t>DÉROULEMENT DE L’ÉPREUVE D’ENTRETIEN</w:t>
            </w:r>
            <w:r w:rsidR="00A50F87">
              <w:tab/>
            </w:r>
            <w:r w:rsidR="00A50F87">
              <w:fldChar w:fldCharType="begin"/>
            </w:r>
            <w:r w:rsidR="00A50F87">
              <w:instrText xml:space="preserve"> PAGEREF _Toc178348970 \h </w:instrText>
            </w:r>
            <w:r w:rsidR="00A50F87">
              <w:fldChar w:fldCharType="separate"/>
            </w:r>
            <w:r w:rsidR="00A50F87">
              <w:t>6</w:t>
            </w:r>
            <w:r w:rsidR="00A50F87">
              <w:fldChar w:fldCharType="end"/>
            </w:r>
          </w:hyperlink>
        </w:p>
        <w:p w14:paraId="7E664CED" w14:textId="77777777" w:rsidR="00954261" w:rsidRDefault="00315A49">
          <w:pPr>
            <w:pStyle w:val="TM2"/>
            <w:tabs>
              <w:tab w:val="left" w:pos="850"/>
              <w:tab w:val="right" w:leader="dot" w:pos="9628"/>
            </w:tabs>
            <w:rPr>
              <w:rFonts w:eastAsiaTheme="minorEastAsia"/>
              <w:lang w:eastAsia="fr-FR"/>
            </w:rPr>
          </w:pPr>
          <w:hyperlink w:anchor="_Toc178348971" w:tooltip="#_Toc178348971" w:history="1">
            <w:r w:rsidR="00A50F87">
              <w:rPr>
                <w:rStyle w:val="Lienhypertexte"/>
              </w:rPr>
              <w:t>4.3.</w:t>
            </w:r>
            <w:r w:rsidR="00A50F87">
              <w:rPr>
                <w:rFonts w:eastAsiaTheme="minorEastAsia"/>
                <w:lang w:eastAsia="fr-FR"/>
              </w:rPr>
              <w:tab/>
            </w:r>
            <w:r w:rsidR="00A50F87">
              <w:rPr>
                <w:rStyle w:val="Lienhypertexte"/>
              </w:rPr>
              <w:t>MESURES D’ORDRE POUR LE DÉROULEMENT DE L‘ÉPREUVE ORALE</w:t>
            </w:r>
            <w:r w:rsidR="00A50F87">
              <w:tab/>
            </w:r>
            <w:r w:rsidR="00A50F87">
              <w:fldChar w:fldCharType="begin"/>
            </w:r>
            <w:r w:rsidR="00A50F87">
              <w:instrText xml:space="preserve"> PAGEREF _Toc178348971 \h </w:instrText>
            </w:r>
            <w:r w:rsidR="00A50F87">
              <w:fldChar w:fldCharType="separate"/>
            </w:r>
            <w:r w:rsidR="00A50F87">
              <w:t>6</w:t>
            </w:r>
            <w:r w:rsidR="00A50F87">
              <w:fldChar w:fldCharType="end"/>
            </w:r>
          </w:hyperlink>
        </w:p>
        <w:p w14:paraId="35A21164" w14:textId="77777777" w:rsidR="00954261" w:rsidRDefault="00315A49">
          <w:pPr>
            <w:pStyle w:val="TM1"/>
            <w:tabs>
              <w:tab w:val="left" w:pos="567"/>
              <w:tab w:val="right" w:leader="dot" w:pos="9628"/>
            </w:tabs>
            <w:rPr>
              <w:rFonts w:eastAsiaTheme="minorEastAsia"/>
              <w:lang w:eastAsia="fr-FR"/>
            </w:rPr>
          </w:pPr>
          <w:hyperlink w:anchor="_Toc178348972" w:tooltip="#_Toc178348972" w:history="1">
            <w:r w:rsidR="00A50F87">
              <w:rPr>
                <w:rStyle w:val="Lienhypertexte"/>
              </w:rPr>
              <w:t>5.</w:t>
            </w:r>
            <w:r w:rsidR="00A50F87">
              <w:rPr>
                <w:rFonts w:eastAsiaTheme="minorEastAsia"/>
                <w:lang w:eastAsia="fr-FR"/>
              </w:rPr>
              <w:tab/>
            </w:r>
            <w:r w:rsidR="00A50F87">
              <w:rPr>
                <w:rStyle w:val="Lienhypertexte"/>
              </w:rPr>
              <w:t>ETABLISSEMENT DES CLASSEMENTS</w:t>
            </w:r>
            <w:r w:rsidR="00A50F87">
              <w:tab/>
            </w:r>
            <w:r w:rsidR="00A50F87">
              <w:fldChar w:fldCharType="begin"/>
            </w:r>
            <w:r w:rsidR="00A50F87">
              <w:instrText xml:space="preserve"> PAGEREF _Toc178348972 \h </w:instrText>
            </w:r>
            <w:r w:rsidR="00A50F87">
              <w:fldChar w:fldCharType="separate"/>
            </w:r>
            <w:r w:rsidR="00A50F87">
              <w:t>6</w:t>
            </w:r>
            <w:r w:rsidR="00A50F87">
              <w:fldChar w:fldCharType="end"/>
            </w:r>
          </w:hyperlink>
        </w:p>
        <w:p w14:paraId="2581F562" w14:textId="77777777" w:rsidR="00954261" w:rsidRDefault="00315A49">
          <w:pPr>
            <w:pStyle w:val="TM2"/>
            <w:tabs>
              <w:tab w:val="left" w:pos="850"/>
              <w:tab w:val="right" w:leader="dot" w:pos="9628"/>
            </w:tabs>
            <w:rPr>
              <w:rFonts w:eastAsiaTheme="minorEastAsia"/>
              <w:lang w:eastAsia="fr-FR"/>
            </w:rPr>
          </w:pPr>
          <w:hyperlink w:anchor="_Toc178348973" w:tooltip="#_Toc178348973" w:history="1">
            <w:r w:rsidR="00A50F87">
              <w:rPr>
                <w:rStyle w:val="Lienhypertexte"/>
              </w:rPr>
              <w:t>5.1.</w:t>
            </w:r>
            <w:r w:rsidR="00A50F87">
              <w:rPr>
                <w:rFonts w:eastAsiaTheme="minorEastAsia"/>
                <w:lang w:eastAsia="fr-FR"/>
              </w:rPr>
              <w:tab/>
            </w:r>
            <w:r w:rsidR="00A50F87">
              <w:rPr>
                <w:rStyle w:val="Lienhypertexte"/>
              </w:rPr>
              <w:t>ÉTABLISSEMENT DE LA LISTE D’ADMISSIBILITÉ</w:t>
            </w:r>
            <w:r w:rsidR="00A50F87">
              <w:tab/>
            </w:r>
            <w:r w:rsidR="00A50F87">
              <w:fldChar w:fldCharType="begin"/>
            </w:r>
            <w:r w:rsidR="00A50F87">
              <w:instrText xml:space="preserve"> PAGEREF _Toc178348973 \h </w:instrText>
            </w:r>
            <w:r w:rsidR="00A50F87">
              <w:fldChar w:fldCharType="separate"/>
            </w:r>
            <w:r w:rsidR="00A50F87">
              <w:t>6</w:t>
            </w:r>
            <w:r w:rsidR="00A50F87">
              <w:fldChar w:fldCharType="end"/>
            </w:r>
          </w:hyperlink>
        </w:p>
        <w:p w14:paraId="05AF7218" w14:textId="77777777" w:rsidR="00954261" w:rsidRDefault="00315A49">
          <w:pPr>
            <w:pStyle w:val="TM2"/>
            <w:tabs>
              <w:tab w:val="left" w:pos="850"/>
              <w:tab w:val="right" w:leader="dot" w:pos="9628"/>
            </w:tabs>
            <w:rPr>
              <w:rFonts w:eastAsiaTheme="minorEastAsia"/>
              <w:lang w:eastAsia="fr-FR"/>
            </w:rPr>
          </w:pPr>
          <w:hyperlink w:anchor="_Toc178348974" w:tooltip="#_Toc178348974" w:history="1">
            <w:r w:rsidR="00A50F87">
              <w:rPr>
                <w:rStyle w:val="Lienhypertexte"/>
              </w:rPr>
              <w:t>5.2.</w:t>
            </w:r>
            <w:r w:rsidR="00A50F87">
              <w:rPr>
                <w:rFonts w:eastAsiaTheme="minorEastAsia"/>
                <w:lang w:eastAsia="fr-FR"/>
              </w:rPr>
              <w:tab/>
            </w:r>
            <w:r w:rsidR="00A50F87">
              <w:rPr>
                <w:rStyle w:val="Lienhypertexte"/>
              </w:rPr>
              <w:t>ÉTABLISSEMENT DES LISTES D’ADMISSION</w:t>
            </w:r>
            <w:r w:rsidR="00A50F87">
              <w:tab/>
            </w:r>
            <w:r w:rsidR="00A50F87">
              <w:fldChar w:fldCharType="begin"/>
            </w:r>
            <w:r w:rsidR="00A50F87">
              <w:instrText xml:space="preserve"> PAGEREF _Toc178348974 \h </w:instrText>
            </w:r>
            <w:r w:rsidR="00A50F87">
              <w:fldChar w:fldCharType="separate"/>
            </w:r>
            <w:r w:rsidR="00A50F87">
              <w:t>6</w:t>
            </w:r>
            <w:r w:rsidR="00A50F87">
              <w:fldChar w:fldCharType="end"/>
            </w:r>
          </w:hyperlink>
        </w:p>
        <w:p w14:paraId="36B8ACC1" w14:textId="77777777" w:rsidR="00954261" w:rsidRDefault="00315A49">
          <w:pPr>
            <w:pStyle w:val="TM1"/>
            <w:tabs>
              <w:tab w:val="left" w:pos="567"/>
              <w:tab w:val="right" w:leader="dot" w:pos="9628"/>
            </w:tabs>
            <w:rPr>
              <w:rFonts w:eastAsiaTheme="minorEastAsia"/>
              <w:lang w:eastAsia="fr-FR"/>
            </w:rPr>
          </w:pPr>
          <w:hyperlink w:anchor="_Toc178348975" w:tooltip="#_Toc178348975" w:history="1">
            <w:r w:rsidR="00A50F87">
              <w:rPr>
                <w:rStyle w:val="Lienhypertexte"/>
              </w:rPr>
              <w:t>6.</w:t>
            </w:r>
            <w:r w:rsidR="00A50F87">
              <w:rPr>
                <w:rFonts w:eastAsiaTheme="minorEastAsia"/>
                <w:lang w:eastAsia="fr-FR"/>
              </w:rPr>
              <w:tab/>
            </w:r>
            <w:r w:rsidR="00A50F87">
              <w:rPr>
                <w:rStyle w:val="Lienhypertexte"/>
              </w:rPr>
              <w:t>RÉSULTATS</w:t>
            </w:r>
            <w:r w:rsidR="00A50F87">
              <w:tab/>
            </w:r>
            <w:r w:rsidR="00A50F87">
              <w:fldChar w:fldCharType="begin"/>
            </w:r>
            <w:r w:rsidR="00A50F87">
              <w:instrText xml:space="preserve"> PAGEREF _Toc178348975 \h </w:instrText>
            </w:r>
            <w:r w:rsidR="00A50F87">
              <w:fldChar w:fldCharType="separate"/>
            </w:r>
            <w:r w:rsidR="00A50F87">
              <w:t>7</w:t>
            </w:r>
            <w:r w:rsidR="00A50F87">
              <w:fldChar w:fldCharType="end"/>
            </w:r>
          </w:hyperlink>
        </w:p>
        <w:p w14:paraId="65C83E21" w14:textId="77777777" w:rsidR="00954261" w:rsidRDefault="00315A49">
          <w:pPr>
            <w:pStyle w:val="TM2"/>
            <w:tabs>
              <w:tab w:val="left" w:pos="850"/>
              <w:tab w:val="right" w:leader="dot" w:pos="9628"/>
            </w:tabs>
            <w:rPr>
              <w:rFonts w:eastAsiaTheme="minorEastAsia"/>
              <w:lang w:eastAsia="fr-FR"/>
            </w:rPr>
          </w:pPr>
          <w:hyperlink w:anchor="_Toc178348976" w:tooltip="#_Toc178348976" w:history="1">
            <w:r w:rsidR="00A50F87">
              <w:rPr>
                <w:rStyle w:val="Lienhypertexte"/>
              </w:rPr>
              <w:t>6.1.</w:t>
            </w:r>
            <w:r w:rsidR="00A50F87">
              <w:rPr>
                <w:rFonts w:eastAsiaTheme="minorEastAsia"/>
                <w:lang w:eastAsia="fr-FR"/>
              </w:rPr>
              <w:tab/>
            </w:r>
            <w:r w:rsidR="00A50F87">
              <w:rPr>
                <w:rStyle w:val="Lienhypertexte"/>
              </w:rPr>
              <w:t>PUBLICATION DES RÉSULTATS</w:t>
            </w:r>
            <w:r w:rsidR="00A50F87">
              <w:tab/>
            </w:r>
            <w:r w:rsidR="00A50F87">
              <w:fldChar w:fldCharType="begin"/>
            </w:r>
            <w:r w:rsidR="00A50F87">
              <w:instrText xml:space="preserve"> PAGEREF _Toc178348976 \h </w:instrText>
            </w:r>
            <w:r w:rsidR="00A50F87">
              <w:fldChar w:fldCharType="separate"/>
            </w:r>
            <w:r w:rsidR="00A50F87">
              <w:t>7</w:t>
            </w:r>
            <w:r w:rsidR="00A50F87">
              <w:fldChar w:fldCharType="end"/>
            </w:r>
          </w:hyperlink>
        </w:p>
        <w:p w14:paraId="4E0465E8" w14:textId="77777777" w:rsidR="00954261" w:rsidRDefault="00315A49">
          <w:pPr>
            <w:pStyle w:val="TM2"/>
            <w:tabs>
              <w:tab w:val="left" w:pos="850"/>
              <w:tab w:val="right" w:leader="dot" w:pos="9628"/>
            </w:tabs>
            <w:rPr>
              <w:rFonts w:eastAsiaTheme="minorEastAsia"/>
              <w:lang w:eastAsia="fr-FR"/>
            </w:rPr>
          </w:pPr>
          <w:hyperlink w:anchor="_Toc178348977" w:tooltip="#_Toc178348977" w:history="1">
            <w:r w:rsidR="00A50F87">
              <w:rPr>
                <w:rStyle w:val="Lienhypertexte"/>
              </w:rPr>
              <w:t>6.2.</w:t>
            </w:r>
            <w:r w:rsidR="00A50F87">
              <w:rPr>
                <w:rFonts w:eastAsiaTheme="minorEastAsia"/>
                <w:lang w:eastAsia="fr-FR"/>
              </w:rPr>
              <w:tab/>
            </w:r>
            <w:r w:rsidR="00A50F87">
              <w:rPr>
                <w:rStyle w:val="Lienhypertexte"/>
              </w:rPr>
              <w:t>RÉCLAMATIONS</w:t>
            </w:r>
            <w:r w:rsidR="00A50F87">
              <w:tab/>
            </w:r>
            <w:r w:rsidR="00A50F87">
              <w:fldChar w:fldCharType="begin"/>
            </w:r>
            <w:r w:rsidR="00A50F87">
              <w:instrText xml:space="preserve"> PAGEREF _Toc178348977 \h </w:instrText>
            </w:r>
            <w:r w:rsidR="00A50F87">
              <w:fldChar w:fldCharType="separate"/>
            </w:r>
            <w:r w:rsidR="00A50F87">
              <w:t>7</w:t>
            </w:r>
            <w:r w:rsidR="00A50F87">
              <w:fldChar w:fldCharType="end"/>
            </w:r>
          </w:hyperlink>
        </w:p>
        <w:p w14:paraId="19C66108" w14:textId="77777777" w:rsidR="00954261" w:rsidRDefault="00315A49">
          <w:pPr>
            <w:pStyle w:val="TM1"/>
            <w:tabs>
              <w:tab w:val="left" w:pos="567"/>
              <w:tab w:val="right" w:leader="dot" w:pos="9628"/>
            </w:tabs>
            <w:rPr>
              <w:rFonts w:eastAsiaTheme="minorEastAsia"/>
              <w:lang w:eastAsia="fr-FR"/>
            </w:rPr>
          </w:pPr>
          <w:hyperlink w:anchor="_Toc178348978" w:tooltip="#_Toc178348978" w:history="1">
            <w:r w:rsidR="00A50F87">
              <w:rPr>
                <w:rStyle w:val="Lienhypertexte"/>
              </w:rPr>
              <w:t>7.</w:t>
            </w:r>
            <w:r w:rsidR="00A50F87">
              <w:rPr>
                <w:rFonts w:eastAsiaTheme="minorEastAsia"/>
                <w:lang w:eastAsia="fr-FR"/>
              </w:rPr>
              <w:tab/>
            </w:r>
            <w:r w:rsidR="00A50F87">
              <w:rPr>
                <w:rStyle w:val="Lienhypertexte"/>
              </w:rPr>
              <w:t>INTÉGRATION DANS LES ÉCOLES</w:t>
            </w:r>
            <w:r w:rsidR="00A50F87">
              <w:tab/>
            </w:r>
            <w:r w:rsidR="00A50F87">
              <w:fldChar w:fldCharType="begin"/>
            </w:r>
            <w:r w:rsidR="00A50F87">
              <w:instrText xml:space="preserve"> PAGEREF _Toc178348978 \h </w:instrText>
            </w:r>
            <w:r w:rsidR="00A50F87">
              <w:fldChar w:fldCharType="separate"/>
            </w:r>
            <w:r w:rsidR="00A50F87">
              <w:t>7</w:t>
            </w:r>
            <w:r w:rsidR="00A50F87">
              <w:fldChar w:fldCharType="end"/>
            </w:r>
          </w:hyperlink>
        </w:p>
        <w:p w14:paraId="6A852B06" w14:textId="77777777" w:rsidR="00954261" w:rsidRDefault="00315A49">
          <w:pPr>
            <w:pStyle w:val="TM2"/>
            <w:tabs>
              <w:tab w:val="left" w:pos="850"/>
              <w:tab w:val="right" w:leader="dot" w:pos="9628"/>
            </w:tabs>
            <w:rPr>
              <w:rFonts w:eastAsiaTheme="minorEastAsia"/>
              <w:lang w:eastAsia="fr-FR"/>
            </w:rPr>
          </w:pPr>
          <w:hyperlink w:anchor="_Toc178348979" w:tooltip="#_Toc178348979" w:history="1">
            <w:r w:rsidR="00A50F87">
              <w:rPr>
                <w:rStyle w:val="Lienhypertexte"/>
              </w:rPr>
              <w:t>7.1.</w:t>
            </w:r>
            <w:r w:rsidR="00A50F87">
              <w:rPr>
                <w:rFonts w:eastAsiaTheme="minorEastAsia"/>
                <w:lang w:eastAsia="fr-FR"/>
              </w:rPr>
              <w:tab/>
            </w:r>
            <w:r w:rsidR="00A50F87">
              <w:rPr>
                <w:rStyle w:val="Lienhypertexte"/>
              </w:rPr>
              <w:t>INSCRIPTION DANS LES ÉCOLES</w:t>
            </w:r>
            <w:r w:rsidR="00A50F87">
              <w:tab/>
            </w:r>
            <w:r w:rsidR="00A50F87">
              <w:fldChar w:fldCharType="begin"/>
            </w:r>
            <w:r w:rsidR="00A50F87">
              <w:instrText xml:space="preserve"> PAGEREF _Toc178348979 \h </w:instrText>
            </w:r>
            <w:r w:rsidR="00A50F87">
              <w:fldChar w:fldCharType="separate"/>
            </w:r>
            <w:r w:rsidR="00A50F87">
              <w:t>7</w:t>
            </w:r>
            <w:r w:rsidR="00A50F87">
              <w:fldChar w:fldCharType="end"/>
            </w:r>
          </w:hyperlink>
        </w:p>
        <w:p w14:paraId="11D06B16" w14:textId="77777777" w:rsidR="00954261" w:rsidRDefault="00315A49">
          <w:pPr>
            <w:pStyle w:val="TM2"/>
            <w:tabs>
              <w:tab w:val="left" w:pos="850"/>
              <w:tab w:val="right" w:leader="dot" w:pos="9628"/>
            </w:tabs>
            <w:rPr>
              <w:rFonts w:eastAsiaTheme="minorEastAsia"/>
              <w:lang w:eastAsia="fr-FR"/>
            </w:rPr>
          </w:pPr>
          <w:hyperlink w:anchor="_Toc178348980" w:tooltip="#_Toc178348980" w:history="1">
            <w:r w:rsidR="00A50F87">
              <w:rPr>
                <w:rStyle w:val="Lienhypertexte"/>
              </w:rPr>
              <w:t>7.2.</w:t>
            </w:r>
            <w:r w:rsidR="00A50F87">
              <w:rPr>
                <w:rFonts w:eastAsiaTheme="minorEastAsia"/>
                <w:lang w:eastAsia="fr-FR"/>
              </w:rPr>
              <w:tab/>
            </w:r>
            <w:r w:rsidR="00A50F87">
              <w:rPr>
                <w:rStyle w:val="Lienhypertexte"/>
              </w:rPr>
              <w:t>BOURSES ERASMUS+</w:t>
            </w:r>
            <w:r w:rsidR="00A50F87">
              <w:tab/>
            </w:r>
            <w:r w:rsidR="00A50F87">
              <w:fldChar w:fldCharType="begin"/>
            </w:r>
            <w:r w:rsidR="00A50F87">
              <w:instrText xml:space="preserve"> PAGEREF _Toc178348980 \h </w:instrText>
            </w:r>
            <w:r w:rsidR="00A50F87">
              <w:fldChar w:fldCharType="separate"/>
            </w:r>
            <w:r w:rsidR="00A50F87">
              <w:t>8</w:t>
            </w:r>
            <w:r w:rsidR="00A50F87">
              <w:fldChar w:fldCharType="end"/>
            </w:r>
          </w:hyperlink>
        </w:p>
        <w:p w14:paraId="03A8DFAC" w14:textId="77777777" w:rsidR="00954261" w:rsidRDefault="00315A49">
          <w:pPr>
            <w:pStyle w:val="TM2"/>
            <w:tabs>
              <w:tab w:val="left" w:pos="850"/>
              <w:tab w:val="right" w:leader="dot" w:pos="9628"/>
            </w:tabs>
            <w:rPr>
              <w:rFonts w:eastAsiaTheme="minorEastAsia"/>
              <w:lang w:eastAsia="fr-FR"/>
            </w:rPr>
          </w:pPr>
          <w:hyperlink w:anchor="_Toc178348981" w:tooltip="#_Toc178348981" w:history="1">
            <w:r w:rsidR="00A50F87">
              <w:rPr>
                <w:rStyle w:val="Lienhypertexte"/>
              </w:rPr>
              <w:t>7.3.</w:t>
            </w:r>
            <w:r w:rsidR="00A50F87">
              <w:rPr>
                <w:rFonts w:eastAsiaTheme="minorEastAsia"/>
                <w:lang w:eastAsia="fr-FR"/>
              </w:rPr>
              <w:tab/>
            </w:r>
            <w:r w:rsidR="00A50F87">
              <w:rPr>
                <w:rStyle w:val="Lienhypertexte"/>
              </w:rPr>
              <w:t>DEMANDE DE VISA</w:t>
            </w:r>
            <w:r w:rsidR="00A50F87">
              <w:tab/>
            </w:r>
            <w:r w:rsidR="00A50F87">
              <w:fldChar w:fldCharType="begin"/>
            </w:r>
            <w:r w:rsidR="00A50F87">
              <w:instrText xml:space="preserve"> PAGEREF _Toc178348981 \h </w:instrText>
            </w:r>
            <w:r w:rsidR="00A50F87">
              <w:fldChar w:fldCharType="separate"/>
            </w:r>
            <w:r w:rsidR="00A50F87">
              <w:t>8</w:t>
            </w:r>
            <w:r w:rsidR="00A50F87">
              <w:fldChar w:fldCharType="end"/>
            </w:r>
          </w:hyperlink>
        </w:p>
        <w:p w14:paraId="00997133" w14:textId="77777777" w:rsidR="00954261" w:rsidRDefault="00A50F87">
          <w:r>
            <w:rPr>
              <w:b/>
              <w:bCs/>
            </w:rPr>
            <w:fldChar w:fldCharType="end"/>
          </w:r>
        </w:p>
      </w:sdtContent>
    </w:sdt>
    <w:p w14:paraId="19986F59" w14:textId="77777777" w:rsidR="00954261" w:rsidRDefault="00A50F87">
      <w:pPr>
        <w:spacing w:line="276" w:lineRule="auto"/>
        <w:rPr>
          <w:rFonts w:ascii="Trebuchet MS" w:eastAsia="Times New Roman" w:hAnsi="Trebuchet MS" w:cs="Times New Roman"/>
          <w:b/>
          <w:bCs/>
          <w:color w:val="000000"/>
          <w:sz w:val="20"/>
          <w:szCs w:val="20"/>
          <w:lang w:eastAsia="fr-FR"/>
        </w:rPr>
      </w:pPr>
      <w:r>
        <w:rPr>
          <w:rFonts w:ascii="Trebuchet MS" w:eastAsia="Times New Roman" w:hAnsi="Trebuchet MS" w:cs="Times New Roman"/>
          <w:b/>
          <w:bCs/>
          <w:color w:val="000000"/>
          <w:sz w:val="20"/>
          <w:szCs w:val="20"/>
          <w:lang w:eastAsia="fr-FR"/>
        </w:rPr>
        <w:br w:type="page" w:clear="all"/>
      </w:r>
    </w:p>
    <w:p w14:paraId="07F45731" w14:textId="77777777" w:rsidR="00954261" w:rsidRDefault="00A50F87">
      <w:pPr>
        <w:pStyle w:val="Titre1"/>
      </w:pPr>
      <w:bookmarkStart w:id="0" w:name="_Toc178348958"/>
      <w:r>
        <w:lastRenderedPageBreak/>
        <w:t>CONDITIONS D’INSCRIPTION ET ÉCOLES PRÉSENTÉES</w:t>
      </w:r>
      <w:bookmarkEnd w:id="0"/>
    </w:p>
    <w:p w14:paraId="43C1B812" w14:textId="77777777" w:rsidR="00954261" w:rsidRDefault="00A50F87">
      <w:pPr>
        <w:pStyle w:val="Titre2"/>
        <w:spacing w:before="240" w:after="0"/>
      </w:pPr>
      <w:bookmarkStart w:id="1" w:name="_Toc178348959"/>
      <w:r>
        <w:t>CONDITIONS D’INSCRIPTION AU PROGRAMME AGREENMOB</w:t>
      </w:r>
      <w:bookmarkEnd w:id="1"/>
    </w:p>
    <w:p w14:paraId="79BF74BF" w14:textId="77777777" w:rsidR="00954261" w:rsidRDefault="00A50F87">
      <w:pPr>
        <w:jc w:val="both"/>
        <w:rPr>
          <w:lang w:eastAsia="fr-FR"/>
        </w:rPr>
      </w:pPr>
      <w:r>
        <w:rPr>
          <w:lang w:eastAsia="fr-FR"/>
        </w:rPr>
        <w:t>Le programme AgreenMob a pour base réglementaire le concours sur titres, éventuellement sur épreuves, dit « concours DE », d’admission directe en deuxième année de cursus ingénieur prévu par l’</w:t>
      </w:r>
      <w:r>
        <w:rPr>
          <w:i/>
          <w:lang w:eastAsia="fr-FR"/>
        </w:rPr>
        <w:t>Arrêté du 21 octobre 2008 fixant les conditions particulières d’admission des étudiants étrangers dans certaines écoles d’ingénieurs</w:t>
      </w:r>
      <w:r>
        <w:rPr>
          <w:lang w:eastAsia="fr-FR"/>
        </w:rPr>
        <w:t>.</w:t>
      </w:r>
    </w:p>
    <w:p w14:paraId="40EEC29E" w14:textId="77777777" w:rsidR="00954261" w:rsidRDefault="00A50F87">
      <w:pPr>
        <w:widowControl w:val="0"/>
        <w:pBdr>
          <w:top w:val="single" w:sz="4" w:space="0" w:color="000000"/>
          <w:left w:val="single" w:sz="4" w:space="0" w:color="000000"/>
          <w:bottom w:val="single" w:sz="4" w:space="0" w:color="000000"/>
          <w:right w:val="single" w:sz="4" w:space="0" w:color="000000"/>
        </w:pBdr>
        <w:spacing w:line="276" w:lineRule="auto"/>
        <w:jc w:val="both"/>
        <w:rPr>
          <w:rFonts w:eastAsia="Times New Roman" w:cstheme="minorHAnsi"/>
          <w:color w:val="B39276"/>
          <w:szCs w:val="24"/>
          <w:lang w:eastAsia="fr-FR"/>
        </w:rPr>
      </w:pPr>
      <w:r>
        <w:rPr>
          <w:rFonts w:eastAsia="Times New Roman" w:cstheme="minorHAnsi"/>
          <w:b/>
          <w:bCs/>
          <w:color w:val="B39276"/>
          <w:szCs w:val="24"/>
          <w:lang w:eastAsia="fr-FR"/>
        </w:rPr>
        <w:t>Le programme AgreenMob est ouvert aux étudiants étrangers titulaires d’un titre ou d’un diplôme ou ayant suivi une formation sanctionnant quatre années d’études supérieures dans un domaine scientifique.</w:t>
      </w:r>
    </w:p>
    <w:p w14:paraId="22ACEB5C" w14:textId="77777777" w:rsidR="00954261" w:rsidRDefault="00A50F87">
      <w:pPr>
        <w:jc w:val="both"/>
        <w:rPr>
          <w:lang w:eastAsia="fr-FR"/>
        </w:rPr>
      </w:pPr>
      <w:r>
        <w:rPr>
          <w:lang w:eastAsia="fr-FR"/>
        </w:rPr>
        <w:t>Nul ne peut faire acte de candidature la même année à deux voies d’accès aux écoles d’ingénieur regroupées au sein d’Agreenium. Cette disposition ne concerne pas les recrutements ayant fait l’objet d’une convention spécifique entre deux établissements (cas des doubles-diplômes).</w:t>
      </w:r>
    </w:p>
    <w:p w14:paraId="5ECDF898" w14:textId="77777777" w:rsidR="00954261" w:rsidRDefault="00A50F87">
      <w:pPr>
        <w:widowControl w:val="0"/>
        <w:tabs>
          <w:tab w:val="left" w:pos="820"/>
        </w:tabs>
        <w:spacing w:after="0" w:line="240" w:lineRule="auto"/>
        <w:jc w:val="both"/>
        <w:rPr>
          <w:rFonts w:eastAsia="Times New Roman" w:cstheme="minorHAnsi"/>
          <w:szCs w:val="24"/>
          <w:lang w:eastAsia="fr-FR"/>
        </w:rPr>
      </w:pPr>
      <w:r>
        <w:rPr>
          <w:rFonts w:eastAsia="Times New Roman" w:cstheme="minorHAnsi"/>
          <w:szCs w:val="24"/>
          <w:lang w:eastAsia="fr-FR"/>
        </w:rPr>
        <w:t>Aucune condition d’âge n’est exigée pour s’inscrire au programme AgreenMob.</w:t>
      </w:r>
    </w:p>
    <w:p w14:paraId="1EC6C6B2" w14:textId="77777777" w:rsidR="00954261" w:rsidRDefault="00954261">
      <w:pPr>
        <w:widowControl w:val="0"/>
        <w:tabs>
          <w:tab w:val="left" w:pos="820"/>
        </w:tabs>
        <w:spacing w:after="120" w:line="240" w:lineRule="auto"/>
        <w:jc w:val="both"/>
        <w:rPr>
          <w:rFonts w:eastAsia="Times New Roman" w:cstheme="minorHAnsi"/>
          <w:szCs w:val="24"/>
          <w:lang w:eastAsia="fr-FR"/>
        </w:rPr>
      </w:pPr>
    </w:p>
    <w:p w14:paraId="4AC16E95" w14:textId="77777777" w:rsidR="00954261" w:rsidRDefault="00A50F87">
      <w:pPr>
        <w:pStyle w:val="Titre2"/>
        <w:spacing w:after="0"/>
      </w:pPr>
      <w:bookmarkStart w:id="2" w:name="_Toc178348960"/>
      <w:r>
        <w:t>ÉCOLES PRÉSENTÉES</w:t>
      </w:r>
      <w:bookmarkEnd w:id="2"/>
    </w:p>
    <w:p w14:paraId="79BC34C0" w14:textId="77777777" w:rsidR="00954261" w:rsidRDefault="00A50F87">
      <w:pPr>
        <w:jc w:val="both"/>
        <w:rPr>
          <w:lang w:eastAsia="fr-FR"/>
        </w:rPr>
      </w:pPr>
      <w:r>
        <w:rPr>
          <w:lang w:eastAsia="fr-FR"/>
        </w:rPr>
        <w:t>Il est fortement recommandé aux candidats de se renseigner, au cours de l’année, sur les écoles et leurs spécificités. Vous pouvez également vous rendre sur la base formation du site internet Agreenium et sur les sites des différentes écoles.</w:t>
      </w:r>
    </w:p>
    <w:p w14:paraId="444095CC" w14:textId="77777777" w:rsidR="00954261" w:rsidRDefault="00A50F87">
      <w:pPr>
        <w:widowControl w:val="0"/>
        <w:tabs>
          <w:tab w:val="left" w:pos="820"/>
        </w:tabs>
        <w:spacing w:after="0" w:line="276" w:lineRule="auto"/>
        <w:jc w:val="both"/>
        <w:rPr>
          <w:rFonts w:eastAsia="Times New Roman" w:cstheme="minorHAnsi"/>
          <w:lang w:eastAsia="fr-FR"/>
        </w:rPr>
      </w:pPr>
      <w:bookmarkStart w:id="3" w:name="_Hlk88231072"/>
      <w:r>
        <w:rPr>
          <w:rFonts w:eastAsia="Times New Roman" w:cstheme="minorHAnsi"/>
          <w:bCs/>
          <w:lang w:eastAsia="fr-FR"/>
        </w:rPr>
        <w:t xml:space="preserve">Le programme AgreenMob donne accès aux formations suivantes, délivrées par les écoles membres de l’Alliance Agreenium </w:t>
      </w:r>
      <w:r>
        <w:rPr>
          <w:rFonts w:eastAsia="Times New Roman" w:cstheme="minorHAnsi"/>
          <w:lang w:eastAsia="fr-FR"/>
        </w:rPr>
        <w:t>et par l’ENGEES</w:t>
      </w:r>
      <w:r>
        <w:rPr>
          <w:rFonts w:eastAsia="Times New Roman" w:cstheme="minorHAnsi"/>
          <w:bCs/>
          <w:lang w:eastAsia="fr-FR"/>
        </w:rPr>
        <w:t xml:space="preserve"> préparant à un diplôme d’ingénieur </w:t>
      </w:r>
      <w:r>
        <w:rPr>
          <w:rFonts w:eastAsia="Times New Roman" w:cstheme="minorHAnsi"/>
          <w:lang w:eastAsia="fr-FR"/>
        </w:rPr>
        <w:t>(cette liste correspond aux vœux possibles) </w:t>
      </w:r>
      <w:bookmarkEnd w:id="3"/>
      <w:r>
        <w:rPr>
          <w:rFonts w:eastAsia="Times New Roman" w:cstheme="minorHAnsi"/>
          <w:lang w:eastAsia="fr-FR"/>
        </w:rPr>
        <w:t>:</w:t>
      </w:r>
    </w:p>
    <w:p w14:paraId="7CBF8A3F"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AgroParisTech</w:t>
      </w:r>
      <w:r>
        <w:rPr>
          <w:rFonts w:ascii="All Round Gothic Demi" w:eastAsia="Times New Roman" w:hAnsi="All Round Gothic Demi" w:cs="Times New Roman"/>
          <w:b/>
          <w:bCs/>
          <w:color w:val="58595B"/>
          <w:lang w:eastAsia="fr-FR"/>
        </w:rPr>
        <w:t> </w:t>
      </w:r>
      <w:r>
        <w:rPr>
          <w:rFonts w:ascii="All Round Gothic Demi" w:hAnsi="All Round Gothic Demi"/>
          <w:b/>
          <w:color w:val="58595B"/>
        </w:rPr>
        <w:t>:</w:t>
      </w:r>
      <w:r>
        <w:rPr>
          <w:rFonts w:ascii="All Round Gothic Demi" w:hAnsi="All Round Gothic Demi"/>
          <w:color w:val="58595B"/>
        </w:rPr>
        <w:t xml:space="preserve"> </w:t>
      </w:r>
      <w:r>
        <w:rPr>
          <w:rFonts w:eastAsia="Times New Roman" w:cstheme="minorHAnsi"/>
          <w:lang w:eastAsia="fr-FR"/>
        </w:rPr>
        <w:t>Cursus ingénieur AgroParisTech</w:t>
      </w:r>
    </w:p>
    <w:p w14:paraId="5B279C9B" w14:textId="77777777" w:rsidR="00954261" w:rsidRDefault="00A50F87">
      <w:pPr>
        <w:pStyle w:val="Paragraphedeliste"/>
        <w:numPr>
          <w:ilvl w:val="0"/>
          <w:numId w:val="5"/>
        </w:numPr>
        <w:spacing w:after="0" w:line="276" w:lineRule="auto"/>
        <w:jc w:val="both"/>
        <w:rPr>
          <w:rFonts w:ascii="All Round Gothic Demi" w:eastAsia="Times New Roman" w:hAnsi="All Round Gothic Demi" w:cs="Times New Roman"/>
          <w:b/>
          <w:bCs/>
          <w:color w:val="58595B"/>
          <w:lang w:eastAsia="fr-FR"/>
        </w:rPr>
      </w:pPr>
      <w:r>
        <w:rPr>
          <w:rFonts w:ascii="All Round Gothic Demi" w:eastAsia="Times New Roman" w:hAnsi="All Round Gothic Demi" w:cs="Times New Roman"/>
          <w:b/>
          <w:bCs/>
          <w:color w:val="9A901C"/>
          <w:lang w:eastAsia="fr-FR"/>
        </w:rPr>
        <w:t>Bordeaux Sciences Agro :</w:t>
      </w:r>
      <w:r>
        <w:rPr>
          <w:rFonts w:ascii="All Round Gothic Demi" w:hAnsi="All Round Gothic Demi"/>
          <w:color w:val="9A901C"/>
        </w:rPr>
        <w:t xml:space="preserve"> </w:t>
      </w:r>
      <w:r>
        <w:rPr>
          <w:rFonts w:eastAsia="Times New Roman" w:cstheme="minorHAnsi"/>
          <w:lang w:eastAsia="fr-FR"/>
        </w:rPr>
        <w:t>Cursus ingénieur agronome</w:t>
      </w:r>
    </w:p>
    <w:p w14:paraId="19AFBAC1"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ENGEES :</w:t>
      </w:r>
      <w:r>
        <w:rPr>
          <w:rFonts w:ascii="All Round Gothic Demi" w:eastAsia="Times New Roman" w:hAnsi="All Round Gothic Demi" w:cs="Times New Roman"/>
          <w:color w:val="58595B"/>
          <w:lang w:eastAsia="fr-FR"/>
        </w:rPr>
        <w:t xml:space="preserve"> </w:t>
      </w:r>
      <w:r>
        <w:rPr>
          <w:rFonts w:eastAsia="Times New Roman" w:cstheme="minorHAnsi"/>
          <w:lang w:eastAsia="fr-FR"/>
        </w:rPr>
        <w:t>Ingénieur Eau et Environnement</w:t>
      </w:r>
    </w:p>
    <w:p w14:paraId="059C4CCB"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ENSAIA :</w:t>
      </w:r>
      <w:r>
        <w:rPr>
          <w:rFonts w:ascii="All Round Gothic Demi" w:hAnsi="All Round Gothic Demi"/>
          <w:color w:val="58595B"/>
        </w:rPr>
        <w:t xml:space="preserve"> </w:t>
      </w:r>
      <w:r>
        <w:rPr>
          <w:rFonts w:eastAsia="Times New Roman" w:cstheme="minorHAnsi"/>
          <w:lang w:eastAsia="fr-FR"/>
        </w:rPr>
        <w:t>Cursus ingénieur agronome / Cursus ingénieur industries alimentaires / Cursus ingénieur production agroalimentaire</w:t>
      </w:r>
    </w:p>
    <w:p w14:paraId="583AB095"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ENSTIB :</w:t>
      </w:r>
      <w:r>
        <w:rPr>
          <w:rFonts w:ascii="All Round Gothic Demi" w:hAnsi="All Round Gothic Demi"/>
          <w:color w:val="58595B"/>
        </w:rPr>
        <w:t xml:space="preserve"> </w:t>
      </w:r>
      <w:r>
        <w:rPr>
          <w:rFonts w:eastAsia="Times New Roman" w:cstheme="minorHAnsi"/>
          <w:lang w:eastAsia="fr-FR"/>
        </w:rPr>
        <w:t>Cursus ingénieur technologies et industries du bois</w:t>
      </w:r>
    </w:p>
    <w:p w14:paraId="5E951DBE"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 xml:space="preserve">ENSAT - </w:t>
      </w:r>
      <w:proofErr w:type="spellStart"/>
      <w:r>
        <w:rPr>
          <w:rFonts w:ascii="All Round Gothic Demi" w:eastAsia="Times New Roman" w:hAnsi="All Round Gothic Demi" w:cs="Times New Roman"/>
          <w:b/>
          <w:bCs/>
          <w:color w:val="9A901C"/>
          <w:lang w:eastAsia="fr-FR"/>
        </w:rPr>
        <w:t>AgroToulouse</w:t>
      </w:r>
      <w:proofErr w:type="spellEnd"/>
      <w:r>
        <w:rPr>
          <w:rFonts w:ascii="All Round Gothic Demi" w:eastAsia="Times New Roman" w:hAnsi="All Round Gothic Demi" w:cs="Times New Roman"/>
          <w:b/>
          <w:bCs/>
          <w:color w:val="9A901C"/>
          <w:lang w:eastAsia="fr-FR"/>
        </w:rPr>
        <w:t> :</w:t>
      </w:r>
      <w:r>
        <w:rPr>
          <w:rFonts w:ascii="All Round Gothic Demi" w:hAnsi="All Round Gothic Demi"/>
          <w:color w:val="58595B"/>
        </w:rPr>
        <w:t xml:space="preserve"> </w:t>
      </w:r>
      <w:r>
        <w:rPr>
          <w:rFonts w:eastAsia="Times New Roman" w:cstheme="minorHAnsi"/>
          <w:lang w:eastAsia="fr-FR"/>
        </w:rPr>
        <w:t>Cursus ingénieur agronome</w:t>
      </w:r>
    </w:p>
    <w:p w14:paraId="19A2E528" w14:textId="77777777" w:rsidR="00954261" w:rsidRDefault="00A50F87">
      <w:pPr>
        <w:pStyle w:val="Paragraphedeliste"/>
        <w:widowControl w:val="0"/>
        <w:numPr>
          <w:ilvl w:val="0"/>
          <w:numId w:val="5"/>
        </w:numPr>
        <w:tabs>
          <w:tab w:val="left" w:pos="820"/>
        </w:tabs>
        <w:spacing w:line="276" w:lineRule="auto"/>
        <w:jc w:val="both"/>
        <w:rPr>
          <w:rFonts w:ascii="All Round Gothic Demi" w:eastAsia="Times New Roman" w:hAnsi="All Round Gothic Demi" w:cs="Times New Roman"/>
          <w:color w:val="58595B"/>
          <w:lang w:eastAsia="fr-FR"/>
        </w:rPr>
      </w:pPr>
      <w:r>
        <w:rPr>
          <w:rFonts w:ascii="All Round Gothic Demi" w:eastAsia="Times New Roman" w:hAnsi="All Round Gothic Demi" w:cs="Times New Roman"/>
          <w:b/>
          <w:bCs/>
          <w:color w:val="9A901C"/>
          <w:lang w:eastAsia="fr-FR"/>
        </w:rPr>
        <w:t>Institut Agro</w:t>
      </w:r>
      <w:r>
        <w:rPr>
          <w:rFonts w:ascii="All Round Gothic Demi" w:hAnsi="All Round Gothic Demi"/>
          <w:b/>
          <w:color w:val="9A901C"/>
        </w:rPr>
        <w:t xml:space="preserve"> Rennes-Angers : </w:t>
      </w:r>
      <w:r>
        <w:rPr>
          <w:rFonts w:eastAsia="Times New Roman" w:cstheme="minorHAnsi"/>
          <w:lang w:eastAsia="fr-FR"/>
        </w:rPr>
        <w:t>Campus de Rennes : cursus ingénieur agronome ou ingénieur en agroalimentaire / Campus d’Angers : cursus ingénieur agronome, ingénieur en agroalimentaire ingénieur en horticulture ou ingénieur en paysage</w:t>
      </w:r>
    </w:p>
    <w:p w14:paraId="193DEEEC" w14:textId="77777777" w:rsidR="00954261" w:rsidRDefault="00A50F87">
      <w:pPr>
        <w:pStyle w:val="Paragraphedeliste"/>
        <w:numPr>
          <w:ilvl w:val="0"/>
          <w:numId w:val="5"/>
        </w:numPr>
        <w:spacing w:after="0" w:line="276" w:lineRule="auto"/>
        <w:jc w:val="both"/>
        <w:rPr>
          <w:rFonts w:eastAsia="Times New Roman" w:cstheme="minorHAnsi"/>
          <w:b/>
          <w:bCs/>
          <w:lang w:eastAsia="fr-FR"/>
        </w:rPr>
      </w:pPr>
      <w:r>
        <w:rPr>
          <w:rFonts w:ascii="All Round Gothic Demi" w:eastAsia="Times New Roman" w:hAnsi="All Round Gothic Demi" w:cs="Times New Roman"/>
          <w:b/>
          <w:bCs/>
          <w:color w:val="9A901C"/>
          <w:lang w:eastAsia="fr-FR"/>
        </w:rPr>
        <w:t xml:space="preserve">Institut Agro Montpellier </w:t>
      </w:r>
      <w:r>
        <w:rPr>
          <w:rFonts w:ascii="All Round Gothic Demi" w:eastAsia="Times New Roman" w:hAnsi="All Round Gothic Demi" w:cs="Times New Roman"/>
          <w:b/>
          <w:bCs/>
          <w:color w:val="58595B"/>
          <w:lang w:eastAsia="fr-FR"/>
        </w:rPr>
        <w:t>:</w:t>
      </w:r>
      <w:r>
        <w:rPr>
          <w:rFonts w:ascii="All Round Gothic Demi" w:hAnsi="All Round Gothic Demi"/>
          <w:color w:val="58595B"/>
        </w:rPr>
        <w:t xml:space="preserve"> </w:t>
      </w:r>
      <w:r>
        <w:rPr>
          <w:rFonts w:eastAsia="Times New Roman" w:cstheme="minorHAnsi"/>
          <w:lang w:eastAsia="fr-FR"/>
        </w:rPr>
        <w:t>Cursus ingénieur systèmes agricoles et agroalimentaires durables au Sud (SAADS)</w:t>
      </w:r>
    </w:p>
    <w:p w14:paraId="7803A0D5" w14:textId="77777777" w:rsidR="00954261" w:rsidRDefault="00A50F87">
      <w:pPr>
        <w:pStyle w:val="Paragraphedeliste"/>
        <w:numPr>
          <w:ilvl w:val="0"/>
          <w:numId w:val="5"/>
        </w:numPr>
        <w:spacing w:after="0" w:line="276" w:lineRule="auto"/>
        <w:jc w:val="both"/>
        <w:rPr>
          <w:rFonts w:ascii="All Round Gothic Demi" w:hAnsi="All Round Gothic Demi"/>
          <w:color w:val="58595B"/>
        </w:rPr>
      </w:pPr>
      <w:r>
        <w:rPr>
          <w:rFonts w:ascii="All Round Gothic Demi" w:eastAsia="Times New Roman" w:hAnsi="All Round Gothic Demi" w:cs="Times New Roman"/>
          <w:b/>
          <w:bCs/>
          <w:color w:val="9A901C"/>
          <w:lang w:eastAsia="fr-FR"/>
        </w:rPr>
        <w:t>Institut Agro Dijon :</w:t>
      </w:r>
      <w:r>
        <w:rPr>
          <w:rFonts w:ascii="All Round Gothic Demi" w:hAnsi="All Round Gothic Demi"/>
          <w:color w:val="58595B"/>
        </w:rPr>
        <w:t xml:space="preserve"> </w:t>
      </w:r>
      <w:r>
        <w:rPr>
          <w:rFonts w:eastAsia="Times New Roman" w:cstheme="minorHAnsi"/>
          <w:lang w:eastAsia="fr-FR"/>
        </w:rPr>
        <w:t>Cursus ingénieur agronome / Cursus ingénieur en alimentation</w:t>
      </w:r>
    </w:p>
    <w:p w14:paraId="3E3E080F" w14:textId="77777777" w:rsidR="00954261" w:rsidRDefault="00A50F87">
      <w:pPr>
        <w:pStyle w:val="Paragraphedeliste"/>
        <w:numPr>
          <w:ilvl w:val="0"/>
          <w:numId w:val="5"/>
        </w:numPr>
        <w:spacing w:after="0" w:line="276" w:lineRule="auto"/>
        <w:jc w:val="both"/>
        <w:rPr>
          <w:rFonts w:ascii="All Round Gothic Demi" w:eastAsia="Times New Roman" w:hAnsi="All Round Gothic Demi" w:cs="Times New Roman"/>
          <w:color w:val="58595B"/>
          <w:lang w:eastAsia="fr-FR"/>
        </w:rPr>
      </w:pPr>
      <w:r>
        <w:rPr>
          <w:rFonts w:ascii="All Round Gothic Demi" w:eastAsia="Times New Roman" w:hAnsi="All Round Gothic Demi" w:cs="Times New Roman"/>
          <w:b/>
          <w:bCs/>
          <w:color w:val="9A901C"/>
          <w:lang w:eastAsia="fr-FR"/>
        </w:rPr>
        <w:t xml:space="preserve">ONIRIS </w:t>
      </w:r>
      <w:proofErr w:type="spellStart"/>
      <w:r>
        <w:rPr>
          <w:rFonts w:ascii="All Round Gothic Demi" w:eastAsia="Times New Roman" w:hAnsi="All Round Gothic Demi" w:cs="Times New Roman"/>
          <w:b/>
          <w:bCs/>
          <w:color w:val="9A901C"/>
          <w:lang w:eastAsia="fr-FR"/>
        </w:rPr>
        <w:t>VetAgroBio</w:t>
      </w:r>
      <w:proofErr w:type="spellEnd"/>
      <w:r>
        <w:rPr>
          <w:rFonts w:ascii="All Round Gothic Demi" w:eastAsia="Times New Roman" w:hAnsi="All Round Gothic Demi" w:cs="Times New Roman"/>
          <w:b/>
          <w:bCs/>
          <w:color w:val="9A901C"/>
          <w:lang w:eastAsia="fr-FR"/>
        </w:rPr>
        <w:t xml:space="preserve"> </w:t>
      </w:r>
      <w:r>
        <w:rPr>
          <w:rFonts w:ascii="All Round Gothic Demi" w:eastAsia="Times New Roman" w:hAnsi="All Round Gothic Demi" w:cs="Times New Roman"/>
          <w:b/>
          <w:bCs/>
          <w:color w:val="58595B"/>
          <w:lang w:eastAsia="fr-FR"/>
        </w:rPr>
        <w:t>:</w:t>
      </w:r>
      <w:r>
        <w:rPr>
          <w:rFonts w:ascii="All Round Gothic Demi" w:hAnsi="All Round Gothic Demi"/>
          <w:color w:val="58595B"/>
        </w:rPr>
        <w:t xml:space="preserve"> </w:t>
      </w:r>
      <w:r>
        <w:rPr>
          <w:rFonts w:cstheme="minorHAnsi"/>
        </w:rPr>
        <w:t>Cursus ingénieur agroalimentaire</w:t>
      </w:r>
    </w:p>
    <w:p w14:paraId="6CC80AE0" w14:textId="77777777" w:rsidR="00954261" w:rsidRDefault="00A50F87">
      <w:pPr>
        <w:pStyle w:val="Paragraphedeliste"/>
        <w:numPr>
          <w:ilvl w:val="0"/>
          <w:numId w:val="5"/>
        </w:numPr>
        <w:spacing w:after="0" w:line="276" w:lineRule="auto"/>
        <w:jc w:val="both"/>
        <w:rPr>
          <w:rFonts w:cstheme="minorHAnsi"/>
          <w:sz w:val="24"/>
          <w:szCs w:val="24"/>
        </w:rPr>
      </w:pPr>
      <w:proofErr w:type="spellStart"/>
      <w:r>
        <w:rPr>
          <w:rFonts w:ascii="All Round Gothic Demi" w:eastAsia="Times New Roman" w:hAnsi="All Round Gothic Demi" w:cs="Times New Roman"/>
          <w:b/>
          <w:bCs/>
          <w:color w:val="9A901C"/>
          <w:szCs w:val="24"/>
          <w:lang w:eastAsia="fr-FR"/>
        </w:rPr>
        <w:t>VetAgro</w:t>
      </w:r>
      <w:proofErr w:type="spellEnd"/>
      <w:r>
        <w:rPr>
          <w:rFonts w:ascii="All Round Gothic Demi" w:eastAsia="Times New Roman" w:hAnsi="All Round Gothic Demi" w:cs="Times New Roman"/>
          <w:b/>
          <w:bCs/>
          <w:color w:val="9A901C"/>
          <w:szCs w:val="24"/>
          <w:lang w:eastAsia="fr-FR"/>
        </w:rPr>
        <w:t xml:space="preserve"> Sup</w:t>
      </w:r>
      <w:r>
        <w:rPr>
          <w:rFonts w:ascii="All Round Gothic Demi" w:hAnsi="All Round Gothic Demi"/>
          <w:color w:val="9A901C"/>
          <w:szCs w:val="24"/>
        </w:rPr>
        <w:t xml:space="preserve"> : </w:t>
      </w:r>
      <w:r>
        <w:rPr>
          <w:rFonts w:eastAsia="Times New Roman" w:cstheme="minorHAnsi"/>
          <w:szCs w:val="24"/>
          <w:lang w:eastAsia="fr-FR"/>
        </w:rPr>
        <w:t>Cursus ingénieur agronome – Site de Clermont-Ferrand</w:t>
      </w:r>
    </w:p>
    <w:p w14:paraId="51563500" w14:textId="77777777" w:rsidR="00954261" w:rsidRDefault="00954261">
      <w:pPr>
        <w:widowControl w:val="0"/>
        <w:tabs>
          <w:tab w:val="left" w:pos="820"/>
        </w:tabs>
        <w:spacing w:line="276" w:lineRule="auto"/>
        <w:jc w:val="both"/>
        <w:rPr>
          <w:rFonts w:ascii="All Round Gothic Demi" w:eastAsia="Times New Roman" w:hAnsi="All Round Gothic Demi" w:cs="Times New Roman"/>
          <w:b/>
          <w:bCs/>
          <w:color w:val="008DD4"/>
          <w:sz w:val="24"/>
          <w:szCs w:val="24"/>
          <w:lang w:eastAsia="fr-FR"/>
        </w:rPr>
      </w:pPr>
    </w:p>
    <w:p w14:paraId="733C2421" w14:textId="77777777" w:rsidR="00954261" w:rsidRDefault="00A50F87">
      <w:pPr>
        <w:pStyle w:val="Titre2"/>
        <w:spacing w:after="0"/>
        <w:ind w:left="788" w:hanging="431"/>
      </w:pPr>
      <w:bookmarkStart w:id="4" w:name="_Toc178348961"/>
      <w:r>
        <w:t>LISTE DE VŒUX</w:t>
      </w:r>
      <w:bookmarkEnd w:id="4"/>
    </w:p>
    <w:p w14:paraId="6542EBBD" w14:textId="77777777" w:rsidR="00954261" w:rsidRDefault="00A50F87">
      <w:pPr>
        <w:jc w:val="both"/>
        <w:rPr>
          <w:lang w:eastAsia="fr-FR"/>
        </w:rPr>
      </w:pPr>
      <w:r>
        <w:rPr>
          <w:lang w:eastAsia="fr-FR"/>
        </w:rPr>
        <w:t>Au moment de l’inscription, les candidats établissent une liste de vœux en classant par ordre de préférence les formations qu’ils souhaitent intégrer.</w:t>
      </w:r>
    </w:p>
    <w:p w14:paraId="535AA546" w14:textId="77777777" w:rsidR="00954261" w:rsidRDefault="00A50F87">
      <w:pPr>
        <w:jc w:val="both"/>
        <w:rPr>
          <w:lang w:eastAsia="fr-FR"/>
        </w:rPr>
      </w:pPr>
      <w:r>
        <w:rPr>
          <w:lang w:eastAsia="fr-FR"/>
        </w:rPr>
        <w:lastRenderedPageBreak/>
        <w:t>La commission Agreenmob propose à chaque candidat retenu la formation qu’il a le mieux classée parmi les formations ayant émis un avis favorable à son admission.</w:t>
      </w:r>
    </w:p>
    <w:p w14:paraId="578352AF" w14:textId="77777777" w:rsidR="00954261" w:rsidRDefault="00A50F87">
      <w:pPr>
        <w:jc w:val="both"/>
        <w:rPr>
          <w:lang w:eastAsia="fr-FR"/>
        </w:rPr>
      </w:pPr>
      <w:r>
        <w:rPr>
          <w:u w:val="single"/>
          <w:lang w:eastAsia="fr-FR"/>
        </w:rPr>
        <w:t>Attention</w:t>
      </w:r>
      <w:r>
        <w:rPr>
          <w:lang w:eastAsia="fr-FR"/>
        </w:rPr>
        <w:t xml:space="preserve"> : chaque vœu peut correspondre à une école ou à une formation dans une école. Par exemple dans le cas de l’Institut Agro Dijon, l’école délivre un diplôme d’ingénieur agronome ainsi qu’un diplôme d’ingénieur en alimentation. Pour cet établissement, les deux cursus d’ingénieur constituent donc deux vœux possibles.</w:t>
      </w:r>
    </w:p>
    <w:p w14:paraId="6407DEC3" w14:textId="77777777" w:rsidR="00954261" w:rsidRDefault="00A50F87">
      <w:pPr>
        <w:widowControl w:val="0"/>
        <w:tabs>
          <w:tab w:val="left" w:pos="820"/>
        </w:tabs>
        <w:spacing w:after="0" w:line="276" w:lineRule="auto"/>
        <w:jc w:val="both"/>
        <w:rPr>
          <w:rFonts w:eastAsia="Times New Roman" w:cstheme="minorHAnsi"/>
          <w:szCs w:val="24"/>
          <w:lang w:eastAsia="fr-FR"/>
        </w:rPr>
      </w:pPr>
      <w:r>
        <w:rPr>
          <w:rFonts w:eastAsia="Times New Roman" w:cstheme="minorHAnsi"/>
          <w:szCs w:val="24"/>
          <w:lang w:eastAsia="fr-FR"/>
        </w:rPr>
        <w:t>Les candidats renoncent à intégrer toute formation non classée dans leur liste de vœux.</w:t>
      </w:r>
    </w:p>
    <w:p w14:paraId="1CF9BADB" w14:textId="77777777" w:rsidR="00954261" w:rsidRDefault="00954261">
      <w:pPr>
        <w:spacing w:after="0" w:line="276" w:lineRule="auto"/>
        <w:jc w:val="both"/>
        <w:rPr>
          <w:rFonts w:ascii="All Round Gothic Demi" w:hAnsi="All Round Gothic Demi"/>
          <w:color w:val="58595B"/>
          <w:sz w:val="24"/>
          <w:szCs w:val="24"/>
        </w:rPr>
      </w:pPr>
    </w:p>
    <w:p w14:paraId="33821922" w14:textId="77777777" w:rsidR="00954261" w:rsidRDefault="00A50F87">
      <w:pPr>
        <w:pStyle w:val="Titre1"/>
      </w:pPr>
      <w:bookmarkStart w:id="5" w:name="EPREUVES"/>
      <w:bookmarkStart w:id="6" w:name="_Toc178348962"/>
      <w:r>
        <w:t>ÉPREUVES</w:t>
      </w:r>
      <w:bookmarkEnd w:id="5"/>
      <w:bookmarkEnd w:id="6"/>
    </w:p>
    <w:p w14:paraId="210B0253" w14:textId="77777777" w:rsidR="00954261" w:rsidRDefault="00A50F87">
      <w:pPr>
        <w:pStyle w:val="Titre2"/>
        <w:spacing w:before="240" w:after="0"/>
      </w:pPr>
      <w:bookmarkStart w:id="7" w:name="_Toc178348963"/>
      <w:r>
        <w:t>ADMISSIBILITÉ</w:t>
      </w:r>
      <w:bookmarkEnd w:id="7"/>
    </w:p>
    <w:p w14:paraId="3E64DCE1" w14:textId="77777777" w:rsidR="00954261" w:rsidRDefault="00A50F87">
      <w:pPr>
        <w:widowControl w:val="0"/>
        <w:tabs>
          <w:tab w:val="left" w:pos="820"/>
        </w:tabs>
        <w:spacing w:line="276" w:lineRule="auto"/>
        <w:jc w:val="both"/>
        <w:rPr>
          <w:rFonts w:eastAsia="Times New Roman" w:cstheme="minorHAnsi"/>
          <w:szCs w:val="24"/>
          <w:lang w:eastAsia="fr-FR"/>
        </w:rPr>
      </w:pPr>
      <w:r>
        <w:rPr>
          <w:rFonts w:eastAsia="Times New Roman" w:cstheme="minorHAnsi"/>
          <w:szCs w:val="24"/>
          <w:lang w:eastAsia="fr-FR"/>
        </w:rPr>
        <w:t xml:space="preserve">La phase d’admissibilité du concours consiste en un </w:t>
      </w:r>
      <w:r>
        <w:rPr>
          <w:rFonts w:eastAsia="Times New Roman" w:cstheme="minorHAnsi"/>
          <w:b/>
          <w:bCs/>
          <w:szCs w:val="24"/>
          <w:lang w:eastAsia="fr-FR"/>
        </w:rPr>
        <w:t>examen du dossier</w:t>
      </w:r>
      <w:r>
        <w:rPr>
          <w:rFonts w:eastAsia="Times New Roman" w:cstheme="minorHAnsi"/>
          <w:szCs w:val="24"/>
          <w:lang w:eastAsia="fr-FR"/>
        </w:rPr>
        <w:t xml:space="preserve"> du candidat visant à évaluer </w:t>
      </w:r>
      <w:proofErr w:type="gramStart"/>
      <w:r>
        <w:rPr>
          <w:rFonts w:eastAsia="Times New Roman" w:cstheme="minorHAnsi"/>
          <w:szCs w:val="24"/>
          <w:lang w:eastAsia="fr-FR"/>
        </w:rPr>
        <w:t>l’adéquation</w:t>
      </w:r>
      <w:proofErr w:type="gramEnd"/>
      <w:r>
        <w:rPr>
          <w:rFonts w:eastAsia="Times New Roman" w:cstheme="minorHAnsi"/>
          <w:szCs w:val="24"/>
          <w:lang w:eastAsia="fr-FR"/>
        </w:rPr>
        <w:t xml:space="preserve"> entre la formation initiale et les formations souhaitées, l’excellence académique, la motivation et la pertinence du projet professionnel. Cet examen se fonde sur le cursus du candidat et les pièces fournies dans le dossier d’inscription. </w:t>
      </w:r>
    </w:p>
    <w:p w14:paraId="3E7A7C74" w14:textId="77777777" w:rsidR="00954261" w:rsidRDefault="00A50F87">
      <w:pPr>
        <w:widowControl w:val="0"/>
        <w:tabs>
          <w:tab w:val="left" w:pos="820"/>
        </w:tabs>
        <w:spacing w:line="276" w:lineRule="auto"/>
        <w:jc w:val="both"/>
        <w:rPr>
          <w:rFonts w:eastAsia="Times New Roman" w:cstheme="minorHAnsi"/>
          <w:szCs w:val="24"/>
          <w:lang w:eastAsia="fr-FR"/>
        </w:rPr>
      </w:pPr>
      <w:r>
        <w:rPr>
          <w:rFonts w:eastAsia="Times New Roman" w:cstheme="minorHAnsi"/>
          <w:szCs w:val="24"/>
          <w:lang w:eastAsia="fr-FR"/>
        </w:rPr>
        <w:t xml:space="preserve">Une attention particulière est portée sur </w:t>
      </w:r>
      <w:r>
        <w:rPr>
          <w:rFonts w:eastAsia="Times New Roman" w:cstheme="minorHAnsi"/>
          <w:b/>
          <w:bCs/>
          <w:szCs w:val="24"/>
          <w:lang w:eastAsia="fr-FR"/>
        </w:rPr>
        <w:t>le niveau d’anglais des candidats</w:t>
      </w:r>
      <w:r>
        <w:rPr>
          <w:rFonts w:eastAsia="Times New Roman" w:cstheme="minorHAnsi"/>
          <w:szCs w:val="24"/>
          <w:lang w:eastAsia="fr-FR"/>
        </w:rPr>
        <w:t xml:space="preserve"> en regard des exigences de la CTI pour la diplomation finale (niveau B2 du cadre européen commun de référence pour les langues).</w:t>
      </w:r>
    </w:p>
    <w:p w14:paraId="7C054A60" w14:textId="77777777" w:rsidR="00954261" w:rsidRDefault="00A50F87">
      <w:pPr>
        <w:widowControl w:val="0"/>
        <w:tabs>
          <w:tab w:val="left" w:pos="820"/>
        </w:tabs>
        <w:spacing w:after="0" w:line="276" w:lineRule="auto"/>
        <w:jc w:val="both"/>
        <w:rPr>
          <w:rFonts w:ascii="All Round Gothic Demi" w:eastAsia="Times New Roman" w:hAnsi="All Round Gothic Demi" w:cs="Times New Roman"/>
          <w:color w:val="58595B"/>
          <w:sz w:val="24"/>
          <w:szCs w:val="24"/>
          <w:lang w:eastAsia="fr-FR"/>
        </w:rPr>
      </w:pPr>
      <w:r>
        <w:rPr>
          <w:rFonts w:ascii="All Round Gothic Demi" w:eastAsia="Times New Roman" w:hAnsi="All Round Gothic Demi" w:cs="Times New Roman"/>
          <w:color w:val="58595B"/>
          <w:sz w:val="24"/>
          <w:szCs w:val="24"/>
          <w:lang w:eastAsia="fr-FR"/>
        </w:rPr>
        <w:t> </w:t>
      </w:r>
    </w:p>
    <w:p w14:paraId="720335B7" w14:textId="77777777" w:rsidR="00954261" w:rsidRDefault="00A50F87">
      <w:pPr>
        <w:pStyle w:val="Titre2"/>
        <w:spacing w:after="0"/>
      </w:pPr>
      <w:bookmarkStart w:id="8" w:name="_Toc178348964"/>
      <w:r>
        <w:t>ADMISSION</w:t>
      </w:r>
      <w:bookmarkEnd w:id="8"/>
    </w:p>
    <w:p w14:paraId="00309C9A" w14:textId="77777777" w:rsidR="00954261" w:rsidRDefault="00A50F87">
      <w:pPr>
        <w:widowControl w:val="0"/>
        <w:tabs>
          <w:tab w:val="left" w:pos="820"/>
        </w:tabs>
        <w:spacing w:after="60" w:line="276" w:lineRule="auto"/>
        <w:jc w:val="both"/>
        <w:rPr>
          <w:rFonts w:eastAsia="Times New Roman" w:cstheme="minorHAnsi"/>
          <w:szCs w:val="24"/>
          <w:lang w:eastAsia="fr-FR"/>
        </w:rPr>
      </w:pPr>
      <w:r>
        <w:rPr>
          <w:rFonts w:eastAsia="Times New Roman" w:cstheme="minorHAnsi"/>
          <w:szCs w:val="24"/>
          <w:lang w:eastAsia="fr-FR"/>
        </w:rPr>
        <w:t>La phase d’admission pour les candidats admissibles consiste en un entretien de motivation avec un jury. Elle vise à sélectionner les candidats admis à intégrer une école après délibération de la commission AgreenMob.</w:t>
      </w:r>
    </w:p>
    <w:p w14:paraId="63F481CE" w14:textId="77777777" w:rsidR="00954261" w:rsidRDefault="00A50F87">
      <w:pPr>
        <w:widowControl w:val="0"/>
        <w:tabs>
          <w:tab w:val="left" w:pos="820"/>
        </w:tabs>
        <w:spacing w:after="0" w:line="276" w:lineRule="auto"/>
        <w:jc w:val="both"/>
        <w:rPr>
          <w:rFonts w:eastAsia="Times New Roman" w:cstheme="minorHAnsi"/>
          <w:szCs w:val="24"/>
          <w:lang w:eastAsia="fr-FR"/>
        </w:rPr>
      </w:pPr>
      <w:r>
        <w:rPr>
          <w:rFonts w:eastAsia="Times New Roman" w:cstheme="minorHAnsi"/>
          <w:szCs w:val="24"/>
          <w:lang w:eastAsia="fr-FR"/>
        </w:rPr>
        <w:t> </w:t>
      </w:r>
    </w:p>
    <w:p w14:paraId="3624AF14" w14:textId="77777777" w:rsidR="00954261" w:rsidRDefault="00A50F87">
      <w:pPr>
        <w:widowControl w:val="0"/>
        <w:tabs>
          <w:tab w:val="left" w:pos="820"/>
        </w:tabs>
        <w:spacing w:after="0" w:line="276" w:lineRule="auto"/>
        <w:jc w:val="both"/>
        <w:rPr>
          <w:rFonts w:eastAsia="Times New Roman" w:cstheme="minorHAnsi"/>
          <w:b/>
          <w:bCs/>
          <w:szCs w:val="24"/>
          <w:u w:val="single"/>
          <w:lang w:eastAsia="fr-FR"/>
        </w:rPr>
      </w:pPr>
      <w:r>
        <w:rPr>
          <w:rFonts w:eastAsia="Times New Roman" w:cstheme="minorHAnsi"/>
          <w:b/>
          <w:bCs/>
          <w:szCs w:val="24"/>
          <w:u w:val="single"/>
          <w:lang w:eastAsia="fr-FR"/>
        </w:rPr>
        <w:t>Entretien de motivation avec le jury</w:t>
      </w:r>
    </w:p>
    <w:p w14:paraId="385D6211" w14:textId="77777777" w:rsidR="00954261" w:rsidRDefault="00A50F87">
      <w:pPr>
        <w:widowControl w:val="0"/>
        <w:tabs>
          <w:tab w:val="left" w:pos="820"/>
        </w:tabs>
        <w:spacing w:line="276" w:lineRule="auto"/>
        <w:jc w:val="both"/>
        <w:rPr>
          <w:rFonts w:eastAsia="Times New Roman" w:cstheme="minorHAnsi"/>
          <w:szCs w:val="24"/>
          <w:lang w:eastAsia="fr-FR"/>
        </w:rPr>
      </w:pPr>
      <w:r>
        <w:rPr>
          <w:rFonts w:eastAsia="Times New Roman" w:cstheme="minorHAnsi"/>
          <w:szCs w:val="24"/>
          <w:lang w:eastAsia="fr-FR"/>
        </w:rPr>
        <w:t xml:space="preserve">L’entretien avec le jury, d’environ 30 minutes, porte sur la motivation et le projet professionnel des candidats. </w:t>
      </w:r>
    </w:p>
    <w:p w14:paraId="7187EACF" w14:textId="77777777" w:rsidR="00954261" w:rsidRDefault="00A50F87">
      <w:pPr>
        <w:widowControl w:val="0"/>
        <w:spacing w:line="276" w:lineRule="auto"/>
        <w:jc w:val="both"/>
        <w:rPr>
          <w:rFonts w:eastAsia="Times New Roman" w:cstheme="minorHAnsi"/>
          <w:szCs w:val="24"/>
          <w:lang w:eastAsia="fr-FR"/>
        </w:rPr>
      </w:pPr>
      <w:r>
        <w:rPr>
          <w:rFonts w:eastAsia="Times New Roman" w:cstheme="minorHAnsi"/>
          <w:szCs w:val="24"/>
          <w:lang w:eastAsia="fr-FR"/>
        </w:rPr>
        <w:t>L’épreuve débute par une phase de présentation du candidat dans laquelle il</w:t>
      </w:r>
      <w:r>
        <w:rPr>
          <w:rFonts w:ascii="All Round Gothic Demi" w:eastAsia="Times New Roman" w:hAnsi="All Round Gothic Demi" w:cs="Times New Roman"/>
          <w:szCs w:val="24"/>
          <w:lang w:eastAsia="fr-FR"/>
        </w:rPr>
        <w:t xml:space="preserve"> </w:t>
      </w:r>
      <w:r>
        <w:rPr>
          <w:rFonts w:eastAsia="Times New Roman" w:cstheme="minorHAnsi"/>
          <w:szCs w:val="24"/>
          <w:lang w:eastAsia="fr-FR"/>
        </w:rPr>
        <w:t>présente son</w:t>
      </w:r>
      <w:r>
        <w:rPr>
          <w:rFonts w:ascii="All Round Gothic Demi" w:eastAsia="Times New Roman" w:hAnsi="All Round Gothic Demi" w:cs="Times New Roman"/>
          <w:color w:val="58595B"/>
          <w:szCs w:val="24"/>
          <w:lang w:eastAsia="fr-FR"/>
        </w:rPr>
        <w:t xml:space="preserve"> </w:t>
      </w:r>
      <w:r>
        <w:rPr>
          <w:rFonts w:eastAsia="Times New Roman" w:cstheme="minorHAnsi"/>
          <w:szCs w:val="24"/>
          <w:lang w:eastAsia="fr-FR"/>
        </w:rPr>
        <w:t>parcours, sa motivation pour ce concours et son projet professionnel. Durant cette phase seront évalués la qualité du projet professionnel et la cohérence du choix de formation par rapport à ce même projet.</w:t>
      </w:r>
    </w:p>
    <w:p w14:paraId="0647EFBA" w14:textId="77777777" w:rsidR="00954261" w:rsidRDefault="00A50F87">
      <w:pPr>
        <w:widowControl w:val="0"/>
        <w:spacing w:line="276" w:lineRule="auto"/>
        <w:jc w:val="both"/>
        <w:rPr>
          <w:rFonts w:eastAsia="Times New Roman" w:cstheme="minorHAnsi"/>
          <w:szCs w:val="24"/>
          <w:lang w:eastAsia="fr-FR"/>
        </w:rPr>
      </w:pPr>
      <w:r>
        <w:rPr>
          <w:rFonts w:eastAsia="Times New Roman" w:cstheme="minorHAnsi"/>
          <w:szCs w:val="24"/>
          <w:lang w:eastAsia="fr-FR"/>
        </w:rPr>
        <w:t>Le niveau d’anglais à l’oral pourra être évalué au cours de l’entretien de motivation. Il pourra également être évalué lors d’un entretien spécifique ayant lieu avant ou après l’entretien de motivation.</w:t>
      </w:r>
    </w:p>
    <w:p w14:paraId="10C47509" w14:textId="77777777" w:rsidR="00954261" w:rsidRDefault="00954261">
      <w:pPr>
        <w:widowControl w:val="0"/>
        <w:spacing w:after="0" w:line="276" w:lineRule="auto"/>
        <w:rPr>
          <w:rFonts w:ascii="All Round Gothic Demi" w:eastAsia="Times New Roman" w:hAnsi="All Round Gothic Demi" w:cs="Times New Roman"/>
          <w:szCs w:val="24"/>
          <w:lang w:eastAsia="fr-FR"/>
        </w:rPr>
      </w:pPr>
    </w:p>
    <w:p w14:paraId="5BCA922A" w14:textId="77777777" w:rsidR="00954261" w:rsidRDefault="00A50F87">
      <w:pPr>
        <w:pStyle w:val="Titre1"/>
      </w:pPr>
      <w:bookmarkStart w:id="9" w:name="INSCRIPTION"/>
      <w:bookmarkStart w:id="10" w:name="_Toc178348965"/>
      <w:r>
        <w:t>PROCÉDURE D’INSCRIPTION</w:t>
      </w:r>
      <w:bookmarkEnd w:id="9"/>
      <w:bookmarkEnd w:id="10"/>
    </w:p>
    <w:p w14:paraId="0556426F" w14:textId="77777777" w:rsidR="00954261" w:rsidRDefault="00A50F87">
      <w:pPr>
        <w:pStyle w:val="Style2"/>
        <w:numPr>
          <w:ilvl w:val="1"/>
          <w:numId w:val="15"/>
        </w:numPr>
        <w:spacing w:before="240"/>
      </w:pPr>
      <w:bookmarkStart w:id="11" w:name="_Toc178348966"/>
      <w:r>
        <w:rPr>
          <w:rStyle w:val="Titre2Car"/>
          <w:b/>
        </w:rPr>
        <w:t>MODALITÉS D’INSCRIPTION</w:t>
      </w:r>
      <w:bookmarkEnd w:id="11"/>
      <w:r>
        <w:rPr>
          <w:rStyle w:val="Titre2Car"/>
          <w:b/>
        </w:rPr>
        <w:t xml:space="preserve"> </w:t>
      </w:r>
      <w:r>
        <w:t>– * Les dates sont susceptibles d’évoluer *</w:t>
      </w:r>
    </w:p>
    <w:p w14:paraId="593F4263" w14:textId="77777777" w:rsidR="00954261" w:rsidRDefault="00A50F87">
      <w:pPr>
        <w:pStyle w:val="NormalWeb"/>
        <w:widowControl w:val="0"/>
        <w:pBdr>
          <w:top w:val="single" w:sz="4" w:space="1" w:color="00000A"/>
          <w:left w:val="single" w:sz="4" w:space="0" w:color="00000A"/>
          <w:bottom w:val="single" w:sz="4" w:space="0" w:color="00000A"/>
          <w:right w:val="single" w:sz="4" w:space="0" w:color="00000A"/>
        </w:pBdr>
        <w:spacing w:before="0" w:beforeAutospacing="0" w:after="60" w:afterAutospacing="0"/>
        <w:ind w:right="142"/>
        <w:jc w:val="center"/>
        <w:rPr>
          <w:rFonts w:asciiTheme="minorHAnsi" w:hAnsiTheme="minorHAnsi" w:cstheme="minorHAnsi"/>
          <w:b/>
          <w:bCs/>
          <w:color w:val="FF0000"/>
          <w:sz w:val="22"/>
        </w:rPr>
      </w:pPr>
      <w:r>
        <w:rPr>
          <w:rFonts w:asciiTheme="minorHAnsi" w:hAnsiTheme="minorHAnsi" w:cstheme="minorHAnsi"/>
          <w:b/>
          <w:bCs/>
          <w:color w:val="FF0000"/>
          <w:sz w:val="22"/>
        </w:rPr>
        <w:t>Ouverture des inscriptions du 6 janvier au 26 janvier 2025</w:t>
      </w:r>
    </w:p>
    <w:p w14:paraId="6AE2B44B" w14:textId="77777777" w:rsidR="00954261" w:rsidRDefault="00A50F87">
      <w:pPr>
        <w:pStyle w:val="NormalWeb"/>
        <w:widowControl w:val="0"/>
        <w:pBdr>
          <w:top w:val="single" w:sz="4" w:space="1" w:color="00000A"/>
          <w:left w:val="single" w:sz="4" w:space="0" w:color="00000A"/>
          <w:bottom w:val="single" w:sz="4" w:space="0" w:color="00000A"/>
          <w:right w:val="single" w:sz="4" w:space="0" w:color="00000A"/>
        </w:pBdr>
        <w:spacing w:before="0" w:beforeAutospacing="0" w:after="60" w:afterAutospacing="0"/>
        <w:ind w:right="142"/>
        <w:jc w:val="center"/>
        <w:rPr>
          <w:rFonts w:asciiTheme="minorHAnsi" w:hAnsiTheme="minorHAnsi" w:cstheme="minorHAnsi"/>
          <w:sz w:val="22"/>
        </w:rPr>
      </w:pPr>
      <w:r>
        <w:rPr>
          <w:rFonts w:asciiTheme="minorHAnsi" w:hAnsiTheme="minorHAnsi" w:cstheme="minorHAnsi"/>
          <w:b/>
          <w:bCs/>
          <w:color w:val="B39276"/>
          <w:sz w:val="22"/>
        </w:rPr>
        <w:t xml:space="preserve">1) Ecrire à </w:t>
      </w:r>
      <w:hyperlink r:id="rId10" w:tooltip="mailto:agreenmob@agreenium.fr" w:history="1">
        <w:r>
          <w:rPr>
            <w:rStyle w:val="Lienhypertexte"/>
            <w:rFonts w:asciiTheme="minorHAnsi" w:hAnsiTheme="minorHAnsi" w:cstheme="minorHAnsi"/>
            <w:b/>
            <w:sz w:val="22"/>
          </w:rPr>
          <w:t>agreenmob@agreenium.fr</w:t>
        </w:r>
      </w:hyperlink>
      <w:r>
        <w:rPr>
          <w:sz w:val="22"/>
        </w:rPr>
        <w:t xml:space="preserve"> </w:t>
      </w:r>
      <w:r>
        <w:rPr>
          <w:rFonts w:asciiTheme="minorHAnsi" w:hAnsiTheme="minorHAnsi" w:cstheme="minorHAnsi"/>
          <w:b/>
          <w:bCs/>
          <w:color w:val="B39276"/>
          <w:sz w:val="22"/>
        </w:rPr>
        <w:t xml:space="preserve">pour initier le processus </w:t>
      </w:r>
    </w:p>
    <w:p w14:paraId="162B8368" w14:textId="77777777" w:rsidR="00954261" w:rsidRDefault="00A50F87">
      <w:pPr>
        <w:pStyle w:val="NormalWeb"/>
        <w:widowControl w:val="0"/>
        <w:pBdr>
          <w:top w:val="single" w:sz="4" w:space="1" w:color="00000A"/>
          <w:left w:val="single" w:sz="4" w:space="0" w:color="00000A"/>
          <w:bottom w:val="single" w:sz="4" w:space="0" w:color="00000A"/>
          <w:right w:val="single" w:sz="4" w:space="0" w:color="00000A"/>
        </w:pBdr>
        <w:spacing w:before="0" w:beforeAutospacing="0" w:after="60" w:afterAutospacing="0"/>
        <w:ind w:right="142"/>
        <w:jc w:val="center"/>
        <w:rPr>
          <w:rFonts w:asciiTheme="minorHAnsi" w:hAnsiTheme="minorHAnsi" w:cstheme="minorHAnsi"/>
          <w:color w:val="B39276"/>
          <w:sz w:val="22"/>
        </w:rPr>
      </w:pPr>
      <w:r>
        <w:rPr>
          <w:rFonts w:asciiTheme="minorHAnsi" w:hAnsiTheme="minorHAnsi" w:cstheme="minorHAnsi"/>
          <w:b/>
          <w:bCs/>
          <w:color w:val="B39276"/>
          <w:sz w:val="22"/>
        </w:rPr>
        <w:t>2) Télécharger tous les documents sur l’espace numérique dédié</w:t>
      </w:r>
    </w:p>
    <w:p w14:paraId="1E5CDE76" w14:textId="77777777" w:rsidR="00954261" w:rsidRDefault="00A50F87">
      <w:pPr>
        <w:widowControl w:val="0"/>
        <w:spacing w:before="180" w:after="0" w:line="240" w:lineRule="auto"/>
        <w:rPr>
          <w:rFonts w:cstheme="minorHAnsi"/>
        </w:rPr>
      </w:pPr>
      <w:r>
        <w:rPr>
          <w:rFonts w:cstheme="minorHAnsi"/>
        </w:rPr>
        <w:t>La procédure pour candidater et transmettre l’ensemble des éléments du dossier est la suivante :</w:t>
      </w:r>
    </w:p>
    <w:p w14:paraId="6BCF18C0" w14:textId="77777777" w:rsidR="00954261" w:rsidRDefault="00A50F87">
      <w:pPr>
        <w:pStyle w:val="docdata"/>
        <w:widowControl w:val="0"/>
        <w:numPr>
          <w:ilvl w:val="0"/>
          <w:numId w:val="14"/>
        </w:numPr>
        <w:spacing w:before="0" w:beforeAutospacing="0" w:after="120" w:afterAutospacing="0"/>
        <w:ind w:left="714" w:hanging="357"/>
        <w:jc w:val="both"/>
        <w:rPr>
          <w:rFonts w:asciiTheme="minorHAnsi" w:hAnsiTheme="minorHAnsi" w:cstheme="minorHAnsi"/>
          <w:sz w:val="22"/>
        </w:rPr>
      </w:pPr>
      <w:r>
        <w:rPr>
          <w:rFonts w:asciiTheme="minorHAnsi" w:hAnsiTheme="minorHAnsi" w:cstheme="minorHAnsi"/>
          <w:sz w:val="22"/>
        </w:rPr>
        <w:t xml:space="preserve">Première étape : écrire à la cellule de coordination et d’appui de l’Alliance Agreenium à l’adresse </w:t>
      </w:r>
      <w:hyperlink r:id="rId11" w:tooltip="mailto:agreenmob@agreenium.fr" w:history="1">
        <w:r>
          <w:rPr>
            <w:rStyle w:val="Lienhypertexte"/>
            <w:rFonts w:asciiTheme="minorHAnsi" w:hAnsiTheme="minorHAnsi" w:cstheme="minorHAnsi"/>
            <w:sz w:val="22"/>
          </w:rPr>
          <w:t>agreenmob@agreenium.fr</w:t>
        </w:r>
      </w:hyperlink>
      <w:r>
        <w:rPr>
          <w:rFonts w:asciiTheme="minorHAnsi" w:hAnsiTheme="minorHAnsi" w:cstheme="minorHAnsi"/>
          <w:sz w:val="22"/>
        </w:rPr>
        <w:t xml:space="preserve"> pour débuter le processus ; </w:t>
      </w:r>
    </w:p>
    <w:p w14:paraId="02F56D53" w14:textId="77777777" w:rsidR="00954261" w:rsidRDefault="00A50F87">
      <w:pPr>
        <w:pStyle w:val="docdata"/>
        <w:widowControl w:val="0"/>
        <w:numPr>
          <w:ilvl w:val="0"/>
          <w:numId w:val="14"/>
        </w:numPr>
        <w:spacing w:before="0" w:beforeAutospacing="0" w:after="0" w:afterAutospacing="0"/>
        <w:jc w:val="both"/>
        <w:rPr>
          <w:rFonts w:asciiTheme="minorHAnsi" w:hAnsiTheme="minorHAnsi" w:cstheme="minorHAnsi"/>
          <w:sz w:val="22"/>
        </w:rPr>
      </w:pPr>
      <w:r>
        <w:rPr>
          <w:rFonts w:asciiTheme="minorHAnsi" w:hAnsiTheme="minorHAnsi" w:cstheme="minorHAnsi"/>
          <w:sz w:val="22"/>
        </w:rPr>
        <w:lastRenderedPageBreak/>
        <w:t xml:space="preserve">Deuxième étape : Téléverser </w:t>
      </w:r>
      <w:r>
        <w:rPr>
          <w:rFonts w:asciiTheme="minorHAnsi" w:hAnsiTheme="minorHAnsi" w:cstheme="minorHAnsi"/>
          <w:b/>
          <w:sz w:val="22"/>
        </w:rPr>
        <w:t>avant le 26 janvier 2025</w:t>
      </w:r>
      <w:r>
        <w:rPr>
          <w:rFonts w:asciiTheme="minorHAnsi" w:hAnsiTheme="minorHAnsi" w:cstheme="minorHAnsi"/>
          <w:sz w:val="22"/>
        </w:rPr>
        <w:t xml:space="preserve"> le formulaire de candidature et les copies numériques des documents demandés (</w:t>
      </w:r>
      <w:r>
        <w:rPr>
          <w:rFonts w:asciiTheme="minorHAnsi" w:hAnsiTheme="minorHAnsi" w:cstheme="minorHAnsi"/>
          <w:i/>
          <w:sz w:val="22"/>
        </w:rPr>
        <w:t>cf.</w:t>
      </w:r>
      <w:r>
        <w:rPr>
          <w:rFonts w:asciiTheme="minorHAnsi" w:hAnsiTheme="minorHAnsi" w:cstheme="minorHAnsi"/>
          <w:sz w:val="22"/>
        </w:rPr>
        <w:t xml:space="preserve"> 3.2. Documents à fournir) sur l’espace numérique qui sera communiqué par retour de mail.</w:t>
      </w:r>
    </w:p>
    <w:p w14:paraId="01944540" w14:textId="77777777" w:rsidR="00954261" w:rsidRDefault="00A50F87">
      <w:pPr>
        <w:pStyle w:val="docdata"/>
        <w:widowControl w:val="0"/>
        <w:spacing w:before="0" w:beforeAutospacing="0" w:after="0" w:afterAutospacing="0"/>
        <w:jc w:val="both"/>
        <w:rPr>
          <w:rFonts w:asciiTheme="minorHAnsi" w:hAnsiTheme="minorHAnsi" w:cstheme="minorHAnsi"/>
          <w:sz w:val="22"/>
        </w:rPr>
      </w:pPr>
      <w:r>
        <w:rPr>
          <w:rFonts w:asciiTheme="minorHAnsi" w:hAnsiTheme="minorHAnsi" w:cstheme="minorHAnsi"/>
          <w:sz w:val="22"/>
        </w:rPr>
        <w:t> </w:t>
      </w:r>
    </w:p>
    <w:p w14:paraId="3031537D" w14:textId="77777777" w:rsidR="00954261" w:rsidRDefault="00A50F87">
      <w:pPr>
        <w:pStyle w:val="docdata"/>
        <w:widowControl w:val="0"/>
        <w:spacing w:before="0" w:beforeAutospacing="0" w:after="0" w:afterAutospacing="0"/>
        <w:jc w:val="both"/>
        <w:rPr>
          <w:rFonts w:asciiTheme="minorHAnsi" w:hAnsiTheme="minorHAnsi" w:cstheme="minorHAnsi"/>
          <w:sz w:val="22"/>
        </w:rPr>
      </w:pPr>
      <w:r>
        <w:rPr>
          <w:rFonts w:asciiTheme="minorHAnsi" w:hAnsiTheme="minorHAnsi" w:cstheme="minorHAnsi"/>
          <w:sz w:val="22"/>
        </w:rPr>
        <w:t>IMPORTANT : Les candidats doivent pouvoir être contactés facilement durant toute la session et jusqu’à la rentrée en école pour parer à tout problème imprévisible.</w:t>
      </w:r>
    </w:p>
    <w:p w14:paraId="6F5CA576" w14:textId="77777777" w:rsidR="00954261" w:rsidRDefault="00954261">
      <w:pPr>
        <w:pStyle w:val="docdata"/>
        <w:widowControl w:val="0"/>
        <w:spacing w:before="0" w:beforeAutospacing="0" w:after="0" w:afterAutospacing="0"/>
        <w:jc w:val="both"/>
        <w:rPr>
          <w:rFonts w:asciiTheme="minorHAnsi" w:hAnsiTheme="minorHAnsi" w:cstheme="minorHAnsi"/>
          <w:sz w:val="22"/>
        </w:rPr>
      </w:pPr>
    </w:p>
    <w:p w14:paraId="5044A2BB" w14:textId="77777777" w:rsidR="00954261" w:rsidRDefault="00A50F87">
      <w:pPr>
        <w:pBdr>
          <w:top w:val="single" w:sz="4" w:space="1" w:color="000000"/>
          <w:left w:val="single" w:sz="4" w:space="4" w:color="000000"/>
          <w:bottom w:val="single" w:sz="4" w:space="1" w:color="000000"/>
          <w:right w:val="single" w:sz="4" w:space="4" w:color="000000"/>
        </w:pBdr>
        <w:spacing w:line="276" w:lineRule="auto"/>
        <w:jc w:val="both"/>
        <w:rPr>
          <w:rFonts w:eastAsia="Times New Roman" w:cstheme="minorHAnsi"/>
          <w:color w:val="B39276"/>
          <w:szCs w:val="24"/>
        </w:rPr>
      </w:pPr>
      <w:r>
        <w:rPr>
          <w:rFonts w:eastAsia="Times New Roman" w:cstheme="minorHAnsi"/>
          <w:b/>
          <w:bCs/>
          <w:color w:val="B39276"/>
          <w:szCs w:val="24"/>
          <w:lang w:eastAsia="fr-FR"/>
        </w:rPr>
        <w:t>Aucune inscription ne sera acceptée après le 26 janvier 2025*.</w:t>
      </w:r>
    </w:p>
    <w:p w14:paraId="7423AFBB" w14:textId="77777777" w:rsidR="00954261" w:rsidRDefault="00A50F87">
      <w:pPr>
        <w:pBdr>
          <w:top w:val="single" w:sz="4" w:space="1" w:color="000000"/>
          <w:left w:val="single" w:sz="4" w:space="4" w:color="000000"/>
          <w:bottom w:val="single" w:sz="4" w:space="1" w:color="000000"/>
          <w:right w:val="single" w:sz="4" w:space="4" w:color="000000"/>
        </w:pBdr>
        <w:spacing w:line="276" w:lineRule="auto"/>
        <w:jc w:val="both"/>
        <w:rPr>
          <w:rFonts w:eastAsia="Times New Roman" w:cstheme="minorHAnsi"/>
          <w:szCs w:val="24"/>
          <w:lang w:eastAsia="fr-FR"/>
        </w:rPr>
      </w:pPr>
      <w:r>
        <w:rPr>
          <w:rFonts w:eastAsia="Times New Roman" w:cstheme="minorHAnsi"/>
          <w:b/>
          <w:bCs/>
          <w:color w:val="B39276"/>
          <w:szCs w:val="24"/>
          <w:lang w:eastAsia="fr-FR"/>
        </w:rPr>
        <w:t>En cas d’omission ou d’erreur constatée dans l’envoi de certaines pièces, les candidats pourront être contactés afin de leur offrir la possibilité de régulariser leur situation. Les dossiers non régularisés dans les délais impartis ne seront pas pris en compte.</w:t>
      </w:r>
    </w:p>
    <w:p w14:paraId="181983EF" w14:textId="77777777" w:rsidR="00954261" w:rsidRDefault="00A50F87">
      <w:pPr>
        <w:pStyle w:val="Titre2"/>
        <w:spacing w:before="360" w:after="0"/>
        <w:ind w:left="788" w:hanging="431"/>
      </w:pPr>
      <w:bookmarkStart w:id="12" w:name="_Toc178348967"/>
      <w:r>
        <w:rPr>
          <w:rStyle w:val="Titre2Car"/>
          <w:b/>
        </w:rPr>
        <w:t>DOCUMENTS</w:t>
      </w:r>
      <w:r>
        <w:t xml:space="preserve"> À FOURNIR</w:t>
      </w:r>
      <w:bookmarkEnd w:id="12"/>
    </w:p>
    <w:p w14:paraId="25E729FD" w14:textId="77777777" w:rsidR="00954261" w:rsidRDefault="00A50F87">
      <w:pPr>
        <w:spacing w:line="276" w:lineRule="auto"/>
        <w:jc w:val="both"/>
        <w:rPr>
          <w:rFonts w:eastAsia="Times New Roman" w:cstheme="minorHAnsi"/>
          <w:szCs w:val="24"/>
          <w:lang w:eastAsia="fr-FR"/>
        </w:rPr>
      </w:pPr>
      <w:r>
        <w:rPr>
          <w:rFonts w:eastAsia="Times New Roman" w:cstheme="minorHAnsi"/>
          <w:szCs w:val="24"/>
          <w:lang w:eastAsia="fr-FR"/>
        </w:rPr>
        <w:t>Les pièces justificatives ci-dessous doivent être fournies en format .</w:t>
      </w:r>
      <w:proofErr w:type="spellStart"/>
      <w:r>
        <w:rPr>
          <w:rFonts w:eastAsia="Times New Roman" w:cstheme="minorHAnsi"/>
          <w:szCs w:val="24"/>
          <w:lang w:eastAsia="fr-FR"/>
        </w:rPr>
        <w:t>pdf</w:t>
      </w:r>
      <w:proofErr w:type="spellEnd"/>
      <w:r>
        <w:rPr>
          <w:rFonts w:eastAsia="Times New Roman" w:cstheme="minorHAnsi"/>
          <w:szCs w:val="24"/>
          <w:lang w:eastAsia="fr-FR"/>
        </w:rPr>
        <w:t xml:space="preserve"> </w:t>
      </w:r>
      <w:proofErr w:type="gramStart"/>
      <w:r>
        <w:rPr>
          <w:rFonts w:eastAsia="Times New Roman" w:cstheme="minorHAnsi"/>
          <w:szCs w:val="24"/>
          <w:lang w:eastAsia="fr-FR"/>
        </w:rPr>
        <w:t>ou</w:t>
      </w:r>
      <w:proofErr w:type="gramEnd"/>
      <w:r>
        <w:rPr>
          <w:rFonts w:eastAsia="Times New Roman" w:cstheme="minorHAnsi"/>
          <w:szCs w:val="24"/>
          <w:lang w:eastAsia="fr-FR"/>
        </w:rPr>
        <w:t xml:space="preserve"> .docx. La taille de chaque document ne doit pas dépasser 2 Mo et un seul fichier doit être fourni par pièce demandée. Jusqu’à la date limite de constitution du dossier (clôture des inscriptions), les candidats ont la possibilité de téléverser une nouvelle version d’une pièce pour remplacer la version précédente. </w:t>
      </w:r>
      <w:r>
        <w:rPr>
          <w:rFonts w:eastAsia="Times New Roman" w:cstheme="minorHAnsi"/>
          <w:b/>
          <w:szCs w:val="24"/>
          <w:lang w:eastAsia="fr-FR"/>
        </w:rPr>
        <w:t>Les documents 1 à 6 sont obligatoires</w:t>
      </w:r>
      <w:r>
        <w:rPr>
          <w:rFonts w:eastAsia="Times New Roman" w:cstheme="minorHAnsi"/>
          <w:szCs w:val="24"/>
          <w:lang w:eastAsia="fr-FR"/>
        </w:rPr>
        <w:t>.</w:t>
      </w:r>
    </w:p>
    <w:p w14:paraId="3042914C" w14:textId="541453F9"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 xml:space="preserve">Le formulaire de candidature, incluant le classement préférentiel des formations souhaitées (le candidat pourra classer entre 1 et </w:t>
      </w:r>
      <w:r w:rsidR="009C2A5A">
        <w:rPr>
          <w:rFonts w:eastAsia="Times New Roman" w:cstheme="minorHAnsi"/>
          <w:szCs w:val="24"/>
          <w:lang w:eastAsia="fr-FR"/>
        </w:rPr>
        <w:t>3</w:t>
      </w:r>
      <w:r>
        <w:rPr>
          <w:rFonts w:eastAsia="Times New Roman" w:cstheme="minorHAnsi"/>
          <w:szCs w:val="24"/>
          <w:lang w:eastAsia="fr-FR"/>
        </w:rPr>
        <w:t xml:space="preserve"> formations) ;</w:t>
      </w:r>
    </w:p>
    <w:p w14:paraId="04CCE7E8"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Une photocopie recto-verso de la carte nationale d’identité ou du passeport.</w:t>
      </w:r>
      <w:r>
        <w:rPr>
          <w:rFonts w:eastAsia="Times New Roman" w:cstheme="minorHAnsi"/>
          <w:b/>
          <w:bCs/>
          <w:szCs w:val="24"/>
          <w:lang w:eastAsia="fr-FR"/>
        </w:rPr>
        <w:t> </w:t>
      </w:r>
      <w:r>
        <w:rPr>
          <w:rFonts w:eastAsia="Times New Roman" w:cstheme="minorHAnsi"/>
          <w:szCs w:val="24"/>
          <w:lang w:eastAsia="fr-FR"/>
        </w:rPr>
        <w:t>Ce document doit être en langue française, en langue anglaise ou accompagné d’une traduction certifiée conforme à l’original ;</w:t>
      </w:r>
    </w:p>
    <w:p w14:paraId="43E953D9"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Un CV (maximum 2 pages en anglais ou français) ;</w:t>
      </w:r>
    </w:p>
    <w:p w14:paraId="694277E2"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Une lettre de motivation (maximum 2 pages en anglais ou français) ;</w:t>
      </w:r>
    </w:p>
    <w:p w14:paraId="35FE00F4"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Les relevés des notes du bac et de toutes les formations suivies dans l’enseignement supérieur (</w:t>
      </w:r>
      <w:proofErr w:type="spellStart"/>
      <w:r>
        <w:rPr>
          <w:rFonts w:eastAsia="Times New Roman" w:cstheme="minorHAnsi"/>
          <w:szCs w:val="24"/>
          <w:lang w:eastAsia="fr-FR"/>
        </w:rPr>
        <w:t>post-bac</w:t>
      </w:r>
      <w:proofErr w:type="spellEnd"/>
      <w:r>
        <w:rPr>
          <w:rFonts w:eastAsia="Times New Roman" w:cstheme="minorHAnsi"/>
          <w:szCs w:val="24"/>
          <w:lang w:eastAsia="fr-FR"/>
        </w:rPr>
        <w:t>) ;</w:t>
      </w:r>
    </w:p>
    <w:p w14:paraId="6C776109"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L’attestation de diplôme ou de suivi d’une formation de niveau Bac+4 (en anglais ou en français) ;</w:t>
      </w:r>
    </w:p>
    <w:p w14:paraId="3AD292A7"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Cs w:val="24"/>
          <w:lang w:eastAsia="fr-FR"/>
        </w:rPr>
      </w:pPr>
      <w:r>
        <w:rPr>
          <w:rFonts w:eastAsia="Times New Roman" w:cstheme="minorHAnsi"/>
          <w:szCs w:val="24"/>
          <w:lang w:eastAsia="fr-FR"/>
        </w:rPr>
        <w:t>Les certificats de classement et les effectifs de la promotion pour chaque relevé de notes (en anglais ou en français) si disponibles ;</w:t>
      </w:r>
    </w:p>
    <w:p w14:paraId="3B50D83A" w14:textId="77777777" w:rsidR="00954261" w:rsidRDefault="00A50F87">
      <w:pPr>
        <w:widowControl w:val="0"/>
        <w:numPr>
          <w:ilvl w:val="0"/>
          <w:numId w:val="2"/>
        </w:numPr>
        <w:tabs>
          <w:tab w:val="clear" w:pos="927"/>
        </w:tabs>
        <w:spacing w:after="60" w:line="276" w:lineRule="auto"/>
        <w:ind w:left="850" w:hanging="357"/>
        <w:jc w:val="both"/>
        <w:rPr>
          <w:rFonts w:eastAsia="Times New Roman" w:cstheme="minorHAnsi"/>
          <w:sz w:val="24"/>
          <w:szCs w:val="24"/>
          <w:lang w:eastAsia="fr-FR"/>
        </w:rPr>
      </w:pPr>
      <w:r>
        <w:rPr>
          <w:rFonts w:eastAsia="Times New Roman" w:cstheme="minorHAnsi"/>
          <w:szCs w:val="24"/>
          <w:lang w:eastAsia="fr-FR"/>
        </w:rPr>
        <w:t>Les certificats de langue (français et anglais) ou attestation d’un professeur de langue si disponibles.</w:t>
      </w:r>
    </w:p>
    <w:p w14:paraId="2783EE75" w14:textId="77777777" w:rsidR="00954261" w:rsidRDefault="00A50F87">
      <w:pPr>
        <w:widowControl w:val="0"/>
        <w:spacing w:after="0" w:line="276" w:lineRule="auto"/>
        <w:ind w:left="720"/>
        <w:jc w:val="both"/>
        <w:rPr>
          <w:rFonts w:ascii="All Round Gothic Demi" w:eastAsia="Times New Roman" w:hAnsi="All Round Gothic Demi" w:cs="Times New Roman"/>
          <w:sz w:val="24"/>
          <w:szCs w:val="24"/>
          <w:lang w:eastAsia="fr-FR"/>
        </w:rPr>
      </w:pPr>
      <w:r>
        <w:rPr>
          <w:rFonts w:ascii="All Round Gothic Demi" w:eastAsia="Times New Roman" w:hAnsi="All Round Gothic Demi" w:cs="Times New Roman"/>
          <w:sz w:val="24"/>
          <w:szCs w:val="24"/>
          <w:lang w:eastAsia="fr-FR"/>
        </w:rPr>
        <w:t> </w:t>
      </w:r>
    </w:p>
    <w:p w14:paraId="0B5FB9A0" w14:textId="77777777" w:rsidR="00954261" w:rsidRDefault="00A50F87">
      <w:pPr>
        <w:pStyle w:val="Titre1"/>
      </w:pPr>
      <w:bookmarkStart w:id="13" w:name="ORGANISATION"/>
      <w:bookmarkStart w:id="14" w:name="_Toc178348968"/>
      <w:r>
        <w:t>ORGANISATION DES EPREUVES DU PROGRAMME AGREENMOB</w:t>
      </w:r>
      <w:bookmarkEnd w:id="13"/>
      <w:bookmarkEnd w:id="14"/>
    </w:p>
    <w:p w14:paraId="7260EEA9" w14:textId="77777777" w:rsidR="00954261" w:rsidRDefault="00A50F87">
      <w:pPr>
        <w:widowControl w:val="0"/>
        <w:tabs>
          <w:tab w:val="left" w:pos="820"/>
        </w:tabs>
        <w:spacing w:after="60" w:line="276" w:lineRule="auto"/>
        <w:jc w:val="both"/>
        <w:rPr>
          <w:rFonts w:eastAsia="Times New Roman" w:cstheme="minorHAnsi"/>
          <w:szCs w:val="24"/>
          <w:lang w:eastAsia="fr-FR"/>
        </w:rPr>
      </w:pPr>
      <w:r>
        <w:rPr>
          <w:rFonts w:eastAsia="Times New Roman" w:cstheme="minorHAnsi"/>
          <w:szCs w:val="24"/>
          <w:lang w:eastAsia="fr-FR"/>
        </w:rPr>
        <w:t>La cellule de coordination et d’appui de l’Alliance Agreenium assure la gestion administrative pour le compte de la communauté des écoles intéressées. Après vérification des dossiers, elle dresse la liste des candidats autorisés à concourir et coordonne les deux phases successives du recrutement.</w:t>
      </w:r>
    </w:p>
    <w:p w14:paraId="0BB0CACD" w14:textId="77777777" w:rsidR="00954261" w:rsidRDefault="00A50F87">
      <w:pPr>
        <w:widowControl w:val="0"/>
        <w:tabs>
          <w:tab w:val="left" w:pos="820"/>
        </w:tabs>
        <w:spacing w:after="60" w:line="276" w:lineRule="auto"/>
        <w:jc w:val="both"/>
        <w:rPr>
          <w:rFonts w:eastAsia="Times New Roman" w:cstheme="minorHAnsi"/>
          <w:szCs w:val="24"/>
          <w:lang w:eastAsia="fr-FR"/>
        </w:rPr>
      </w:pPr>
      <w:r>
        <w:rPr>
          <w:rFonts w:eastAsia="Times New Roman" w:cstheme="minorHAnsi"/>
          <w:szCs w:val="24"/>
          <w:lang w:eastAsia="fr-FR"/>
        </w:rPr>
        <w:t xml:space="preserve">Une commission « AgreenMob » composée d’un représentant désigné par chaque école est mise en place. </w:t>
      </w:r>
    </w:p>
    <w:p w14:paraId="1860C243" w14:textId="77777777" w:rsidR="00954261" w:rsidRDefault="00954261">
      <w:pPr>
        <w:widowControl w:val="0"/>
        <w:tabs>
          <w:tab w:val="left" w:pos="820"/>
        </w:tabs>
        <w:spacing w:after="60" w:line="276" w:lineRule="auto"/>
        <w:jc w:val="both"/>
        <w:rPr>
          <w:rFonts w:eastAsia="Times New Roman" w:cstheme="minorHAnsi"/>
          <w:sz w:val="24"/>
          <w:szCs w:val="24"/>
          <w:lang w:eastAsia="fr-FR"/>
        </w:rPr>
      </w:pPr>
    </w:p>
    <w:p w14:paraId="53094920" w14:textId="77777777" w:rsidR="00954261" w:rsidRDefault="00A50F87">
      <w:pPr>
        <w:pStyle w:val="Titre2"/>
        <w:spacing w:after="0"/>
      </w:pPr>
      <w:bookmarkStart w:id="15" w:name="_Toc178348969"/>
      <w:r>
        <w:t>ADMISSIBILITÉ ET ADMISSION</w:t>
      </w:r>
      <w:bookmarkEnd w:id="15"/>
    </w:p>
    <w:p w14:paraId="264720BA" w14:textId="77777777" w:rsidR="00954261" w:rsidRDefault="00A50F87">
      <w:pPr>
        <w:widowControl w:val="0"/>
        <w:tabs>
          <w:tab w:val="left" w:pos="820"/>
        </w:tabs>
        <w:spacing w:after="120" w:line="276" w:lineRule="auto"/>
        <w:jc w:val="both"/>
        <w:rPr>
          <w:rFonts w:eastAsia="Times New Roman" w:cstheme="minorHAnsi"/>
          <w:szCs w:val="24"/>
          <w:lang w:eastAsia="fr-FR"/>
        </w:rPr>
      </w:pPr>
      <w:r>
        <w:rPr>
          <w:rFonts w:eastAsia="Times New Roman" w:cstheme="minorHAnsi"/>
          <w:szCs w:val="24"/>
          <w:lang w:eastAsia="fr-FR"/>
        </w:rPr>
        <w:t>La phase d’</w:t>
      </w:r>
      <w:r>
        <w:rPr>
          <w:rFonts w:eastAsia="Times New Roman" w:cstheme="minorHAnsi"/>
          <w:b/>
          <w:szCs w:val="24"/>
          <w:u w:val="single"/>
          <w:lang w:eastAsia="fr-FR"/>
        </w:rPr>
        <w:t>admissibilité</w:t>
      </w:r>
      <w:r>
        <w:rPr>
          <w:rFonts w:eastAsia="Times New Roman" w:cstheme="minorHAnsi"/>
          <w:szCs w:val="24"/>
          <w:lang w:eastAsia="fr-FR"/>
        </w:rPr>
        <w:t xml:space="preserve"> </w:t>
      </w:r>
      <w:r>
        <w:rPr>
          <w:rFonts w:eastAsia="Times New Roman" w:cstheme="minorHAnsi"/>
          <w:bCs/>
          <w:szCs w:val="24"/>
          <w:lang w:eastAsia="fr-FR"/>
        </w:rPr>
        <w:t>repose sur l’examen des dossiers des candidats admis à concourir</w:t>
      </w:r>
      <w:r>
        <w:rPr>
          <w:rFonts w:eastAsia="Times New Roman" w:cstheme="minorHAnsi"/>
          <w:szCs w:val="24"/>
          <w:lang w:eastAsia="fr-FR"/>
        </w:rPr>
        <w:t>. La commission AgreenMob établit une liste alphabétique des candidats admissibles avant le 17 mars 2025*.</w:t>
      </w:r>
    </w:p>
    <w:p w14:paraId="11BF39B8" w14:textId="77777777" w:rsidR="00954261" w:rsidRDefault="00A50F87">
      <w:pPr>
        <w:widowControl w:val="0"/>
        <w:tabs>
          <w:tab w:val="left" w:pos="820"/>
        </w:tabs>
        <w:spacing w:after="60" w:line="276" w:lineRule="auto"/>
        <w:jc w:val="both"/>
        <w:rPr>
          <w:rFonts w:eastAsia="Times New Roman" w:cstheme="minorHAnsi"/>
          <w:szCs w:val="24"/>
          <w:lang w:eastAsia="fr-FR"/>
        </w:rPr>
      </w:pPr>
      <w:r>
        <w:rPr>
          <w:rFonts w:eastAsia="Times New Roman" w:cstheme="minorHAnsi"/>
          <w:szCs w:val="24"/>
          <w:lang w:eastAsia="fr-FR"/>
        </w:rPr>
        <w:lastRenderedPageBreak/>
        <w:t>La phase d’</w:t>
      </w:r>
      <w:r>
        <w:rPr>
          <w:rFonts w:eastAsia="Times New Roman" w:cstheme="minorHAnsi"/>
          <w:b/>
          <w:szCs w:val="24"/>
          <w:u w:val="single"/>
          <w:lang w:eastAsia="fr-FR"/>
        </w:rPr>
        <w:t>admission</w:t>
      </w:r>
      <w:r>
        <w:rPr>
          <w:rFonts w:eastAsia="Times New Roman" w:cstheme="minorHAnsi"/>
          <w:szCs w:val="24"/>
          <w:lang w:eastAsia="fr-FR"/>
        </w:rPr>
        <w:t xml:space="preserve"> des candidats admissibles consiste en un </w:t>
      </w:r>
      <w:r>
        <w:rPr>
          <w:rFonts w:eastAsia="Times New Roman" w:cstheme="minorHAnsi"/>
          <w:bCs/>
          <w:szCs w:val="24"/>
          <w:lang w:eastAsia="fr-FR"/>
        </w:rPr>
        <w:t>entretien de motivation</w:t>
      </w:r>
      <w:r>
        <w:rPr>
          <w:rFonts w:eastAsia="Times New Roman" w:cstheme="minorHAnsi"/>
          <w:szCs w:val="24"/>
          <w:lang w:eastAsia="fr-FR"/>
        </w:rPr>
        <w:t> avec un jury et, le cas échéant, un entretien spécifique visant à évaluer le niveau d’anglais des candidats. Les entretiens sont assurés en distanciel, par un jury nommé par la commission AgreenMob sur proposition des établissements. Le jury d’entretien est composé de 3 ou 4 membres.</w:t>
      </w:r>
    </w:p>
    <w:p w14:paraId="7015F985" w14:textId="77777777" w:rsidR="00954261" w:rsidRDefault="00A50F87">
      <w:pPr>
        <w:widowControl w:val="0"/>
        <w:tabs>
          <w:tab w:val="left" w:pos="820"/>
        </w:tabs>
        <w:spacing w:after="0" w:line="276" w:lineRule="auto"/>
        <w:jc w:val="both"/>
        <w:rPr>
          <w:rFonts w:ascii="All Round Gothic Demi" w:eastAsia="Times New Roman" w:hAnsi="All Round Gothic Demi" w:cs="Times New Roman"/>
          <w:color w:val="008DD4"/>
          <w:sz w:val="24"/>
          <w:szCs w:val="24"/>
          <w:lang w:eastAsia="fr-FR"/>
        </w:rPr>
      </w:pPr>
      <w:r>
        <w:rPr>
          <w:rFonts w:ascii="All Round Gothic Demi" w:eastAsia="Times New Roman" w:hAnsi="All Round Gothic Demi" w:cs="Times New Roman"/>
          <w:color w:val="58595B"/>
          <w:sz w:val="24"/>
          <w:szCs w:val="24"/>
          <w:lang w:eastAsia="fr-FR"/>
        </w:rPr>
        <w:t> </w:t>
      </w:r>
    </w:p>
    <w:p w14:paraId="16124D91" w14:textId="77777777" w:rsidR="00954261" w:rsidRDefault="00A50F87">
      <w:pPr>
        <w:pStyle w:val="Titre2"/>
        <w:spacing w:after="0"/>
      </w:pPr>
      <w:bookmarkStart w:id="16" w:name="_Toc178348970"/>
      <w:r>
        <w:t>DÉROULEMENT DE L’ÉPREUVE D’ENTRETIEN</w:t>
      </w:r>
      <w:bookmarkEnd w:id="16"/>
    </w:p>
    <w:p w14:paraId="57367D08" w14:textId="77777777" w:rsidR="00954261" w:rsidRDefault="00A50F87">
      <w:pPr>
        <w:widowControl w:val="0"/>
        <w:tabs>
          <w:tab w:val="left" w:pos="820"/>
        </w:tabs>
        <w:spacing w:after="0" w:line="276" w:lineRule="auto"/>
        <w:jc w:val="both"/>
        <w:rPr>
          <w:rFonts w:eastAsia="Times New Roman" w:cstheme="minorHAnsi"/>
          <w:szCs w:val="24"/>
          <w:u w:val="single"/>
          <w:lang w:eastAsia="fr-FR"/>
        </w:rPr>
      </w:pPr>
      <w:r>
        <w:rPr>
          <w:rFonts w:eastAsia="Times New Roman" w:cstheme="minorHAnsi"/>
          <w:b/>
          <w:bCs/>
          <w:szCs w:val="24"/>
          <w:u w:val="single"/>
          <w:lang w:eastAsia="fr-FR"/>
        </w:rPr>
        <w:t>Localisation et dates</w:t>
      </w:r>
    </w:p>
    <w:p w14:paraId="60676F13" w14:textId="77777777" w:rsidR="00954261" w:rsidRDefault="00A50F87">
      <w:pPr>
        <w:widowControl w:val="0"/>
        <w:tabs>
          <w:tab w:val="left" w:pos="820"/>
        </w:tabs>
        <w:spacing w:after="0" w:line="276" w:lineRule="auto"/>
        <w:jc w:val="both"/>
        <w:rPr>
          <w:rFonts w:eastAsia="Times New Roman" w:cstheme="minorHAnsi"/>
          <w:szCs w:val="24"/>
          <w:lang w:eastAsia="fr-FR"/>
        </w:rPr>
      </w:pPr>
      <w:r>
        <w:rPr>
          <w:rFonts w:eastAsia="Times New Roman" w:cstheme="minorHAnsi"/>
          <w:szCs w:val="24"/>
          <w:lang w:eastAsia="fr-FR"/>
        </w:rPr>
        <w:t xml:space="preserve">Les épreuves d’entretien se déroulent par visioconférence entre </w:t>
      </w:r>
      <w:r>
        <w:rPr>
          <w:rFonts w:eastAsia="Times New Roman" w:cstheme="minorHAnsi"/>
          <w:b/>
          <w:bCs/>
          <w:szCs w:val="24"/>
          <w:lang w:eastAsia="fr-FR"/>
        </w:rPr>
        <w:t>le 24 et le 28 mars 2025*</w:t>
      </w:r>
      <w:r>
        <w:rPr>
          <w:rFonts w:eastAsia="Times New Roman" w:cstheme="minorHAnsi"/>
          <w:szCs w:val="24"/>
          <w:lang w:eastAsia="fr-FR"/>
        </w:rPr>
        <w:t>.</w:t>
      </w:r>
    </w:p>
    <w:p w14:paraId="7B1D1D91" w14:textId="77777777" w:rsidR="00954261" w:rsidRDefault="00954261">
      <w:pPr>
        <w:widowControl w:val="0"/>
        <w:tabs>
          <w:tab w:val="left" w:pos="820"/>
        </w:tabs>
        <w:spacing w:after="0" w:line="276" w:lineRule="auto"/>
        <w:jc w:val="both"/>
        <w:rPr>
          <w:rFonts w:ascii="All Round Gothic Demi" w:eastAsia="Times New Roman" w:hAnsi="All Round Gothic Demi" w:cs="Times New Roman"/>
          <w:color w:val="58595B"/>
          <w:szCs w:val="24"/>
          <w:lang w:eastAsia="fr-FR"/>
        </w:rPr>
      </w:pPr>
    </w:p>
    <w:p w14:paraId="27043292" w14:textId="77777777" w:rsidR="00954261" w:rsidRDefault="00A50F87">
      <w:pPr>
        <w:widowControl w:val="0"/>
        <w:tabs>
          <w:tab w:val="left" w:pos="820"/>
        </w:tabs>
        <w:spacing w:after="0" w:line="276" w:lineRule="auto"/>
        <w:jc w:val="both"/>
        <w:rPr>
          <w:rFonts w:eastAsia="Times New Roman" w:cstheme="minorHAnsi"/>
          <w:szCs w:val="24"/>
          <w:u w:val="single"/>
          <w:lang w:eastAsia="fr-FR"/>
        </w:rPr>
      </w:pPr>
      <w:r>
        <w:rPr>
          <w:rFonts w:eastAsia="Times New Roman" w:cstheme="minorHAnsi"/>
          <w:b/>
          <w:bCs/>
          <w:szCs w:val="24"/>
          <w:u w:val="single"/>
          <w:lang w:eastAsia="fr-FR"/>
        </w:rPr>
        <w:t>Calendrier de passage</w:t>
      </w:r>
    </w:p>
    <w:p w14:paraId="6714DE48" w14:textId="77777777" w:rsidR="00954261" w:rsidRDefault="00A50F87">
      <w:pPr>
        <w:widowControl w:val="0"/>
        <w:spacing w:after="60" w:line="276" w:lineRule="auto"/>
        <w:jc w:val="both"/>
        <w:rPr>
          <w:rFonts w:eastAsia="Times New Roman" w:cstheme="minorHAnsi"/>
          <w:szCs w:val="24"/>
          <w:lang w:eastAsia="fr-FR"/>
        </w:rPr>
      </w:pPr>
      <w:r>
        <w:rPr>
          <w:rFonts w:eastAsia="Times New Roman" w:cstheme="minorHAnsi"/>
          <w:szCs w:val="24"/>
          <w:lang w:eastAsia="fr-FR"/>
        </w:rPr>
        <w:t xml:space="preserve">Chaque candidat recevra, par courrier électronique, sa convocation individuelle à l’épreuve orale </w:t>
      </w:r>
      <w:r>
        <w:rPr>
          <w:rFonts w:eastAsia="Times New Roman" w:cstheme="minorHAnsi"/>
          <w:b/>
          <w:bCs/>
          <w:szCs w:val="24"/>
          <w:lang w:eastAsia="fr-FR"/>
        </w:rPr>
        <w:t>au plus tard le 17 mars 2025*.</w:t>
      </w:r>
    </w:p>
    <w:p w14:paraId="26A068CB" w14:textId="77777777" w:rsidR="00954261" w:rsidRDefault="00A50F87">
      <w:pPr>
        <w:widowControl w:val="0"/>
        <w:tabs>
          <w:tab w:val="left" w:pos="820"/>
        </w:tabs>
        <w:spacing w:after="0" w:line="276" w:lineRule="auto"/>
        <w:jc w:val="both"/>
        <w:rPr>
          <w:rFonts w:ascii="All Round Gothic Demi" w:eastAsia="Times New Roman" w:hAnsi="All Round Gothic Demi" w:cs="Times New Roman"/>
          <w:color w:val="58595B"/>
          <w:szCs w:val="24"/>
          <w:lang w:eastAsia="fr-FR"/>
        </w:rPr>
      </w:pPr>
      <w:r>
        <w:rPr>
          <w:rFonts w:eastAsia="Times New Roman" w:cstheme="minorHAnsi"/>
          <w:szCs w:val="24"/>
          <w:lang w:eastAsia="fr-FR"/>
        </w:rPr>
        <w:t>Les candidats seront tenus de se conformer strictement à leur convocation à l’épreuve orale.</w:t>
      </w:r>
      <w:r>
        <w:rPr>
          <w:rFonts w:ascii="All Round Gothic Demi" w:eastAsia="Times New Roman" w:hAnsi="All Round Gothic Demi" w:cs="Times New Roman"/>
          <w:color w:val="58595B"/>
          <w:szCs w:val="24"/>
          <w:lang w:eastAsia="fr-FR"/>
        </w:rPr>
        <w:t> </w:t>
      </w:r>
    </w:p>
    <w:p w14:paraId="72E0F827" w14:textId="77777777" w:rsidR="00954261" w:rsidRDefault="00954261">
      <w:pPr>
        <w:widowControl w:val="0"/>
        <w:tabs>
          <w:tab w:val="left" w:pos="820"/>
        </w:tabs>
        <w:spacing w:after="0" w:line="276" w:lineRule="auto"/>
        <w:jc w:val="both"/>
        <w:rPr>
          <w:rFonts w:ascii="All Round Gothic Demi" w:eastAsia="Times New Roman" w:hAnsi="All Round Gothic Demi" w:cs="Times New Roman"/>
          <w:color w:val="58595B"/>
          <w:szCs w:val="24"/>
          <w:lang w:eastAsia="fr-FR"/>
        </w:rPr>
      </w:pPr>
    </w:p>
    <w:p w14:paraId="3B9CEA27" w14:textId="77777777" w:rsidR="00954261" w:rsidRDefault="00A50F87">
      <w:pPr>
        <w:pStyle w:val="Titre2"/>
        <w:spacing w:after="0"/>
      </w:pPr>
      <w:bookmarkStart w:id="17" w:name="_Toc178348971"/>
      <w:r>
        <w:t>MESURES D’ORDRE POUR LE DÉROULEMENT DE L‘ÉPREUVE ORALE</w:t>
      </w:r>
      <w:bookmarkEnd w:id="17"/>
    </w:p>
    <w:p w14:paraId="0DCFA8EC" w14:textId="77777777" w:rsidR="00954261" w:rsidRDefault="00A50F87">
      <w:pPr>
        <w:widowControl w:val="0"/>
        <w:spacing w:after="120" w:line="240" w:lineRule="auto"/>
        <w:ind w:right="-85"/>
        <w:jc w:val="both"/>
        <w:rPr>
          <w:rFonts w:eastAsia="Times New Roman" w:cstheme="minorHAnsi"/>
          <w:lang w:eastAsia="fr-FR"/>
        </w:rPr>
      </w:pPr>
      <w:r>
        <w:rPr>
          <w:rFonts w:eastAsia="Times New Roman" w:cstheme="minorHAnsi"/>
          <w:lang w:eastAsia="fr-FR"/>
        </w:rPr>
        <w:t xml:space="preserve">Les candidats doivent se présenter devant le jury munis de leur convocation et d’une pièce d’identité (carte nationale d’identité ou passeport) en cours de validité, en respectant les horaires de convocation. </w:t>
      </w:r>
      <w:r>
        <w:rPr>
          <w:rFonts w:eastAsia="Times New Roman" w:cstheme="minorHAnsi"/>
          <w:szCs w:val="24"/>
          <w:lang w:eastAsia="fr-FR"/>
        </w:rPr>
        <w:t>L’entretien étant réalisé en distanciel, les candidats devront montrer leur pièce d’identité à la caméra.</w:t>
      </w:r>
    </w:p>
    <w:p w14:paraId="72901589" w14:textId="77777777" w:rsidR="00954261" w:rsidRDefault="00A50F87">
      <w:pPr>
        <w:widowControl w:val="0"/>
        <w:spacing w:after="120" w:line="240" w:lineRule="auto"/>
        <w:ind w:right="-85"/>
        <w:jc w:val="both"/>
        <w:rPr>
          <w:rFonts w:eastAsia="Times New Roman" w:cstheme="minorHAnsi"/>
          <w:i/>
          <w:szCs w:val="24"/>
          <w:lang w:eastAsia="fr-FR"/>
        </w:rPr>
      </w:pPr>
      <w:r>
        <w:rPr>
          <w:rFonts w:eastAsia="Times New Roman" w:cstheme="minorHAnsi"/>
          <w:b/>
          <w:bCs/>
          <w:szCs w:val="24"/>
          <w:lang w:eastAsia="fr-FR"/>
        </w:rPr>
        <w:t>Attention</w:t>
      </w:r>
      <w:r>
        <w:rPr>
          <w:rFonts w:eastAsia="Times New Roman" w:cstheme="minorHAnsi"/>
          <w:b/>
          <w:bCs/>
          <w:i/>
          <w:szCs w:val="24"/>
          <w:lang w:eastAsia="fr-FR"/>
        </w:rPr>
        <w:t> :</w:t>
      </w:r>
      <w:r>
        <w:rPr>
          <w:rFonts w:eastAsia="Times New Roman" w:cstheme="minorHAnsi"/>
          <w:i/>
          <w:iCs/>
          <w:szCs w:val="24"/>
          <w:lang w:eastAsia="fr-FR"/>
        </w:rPr>
        <w:t> </w:t>
      </w:r>
      <w:r>
        <w:rPr>
          <w:rFonts w:eastAsia="Times New Roman" w:cstheme="minorHAnsi"/>
          <w:i/>
          <w:iCs/>
          <w:szCs w:val="24"/>
          <w:u w:val="single"/>
          <w:lang w:eastAsia="fr-FR"/>
        </w:rPr>
        <w:t xml:space="preserve">tout candidat n’ayant pas sa convocation et/ou sa pièce d’identité ne sera pas </w:t>
      </w:r>
      <w:proofErr w:type="gramStart"/>
      <w:r>
        <w:rPr>
          <w:rFonts w:eastAsia="Times New Roman" w:cstheme="minorHAnsi"/>
          <w:i/>
          <w:iCs/>
          <w:szCs w:val="24"/>
          <w:u w:val="single"/>
          <w:lang w:eastAsia="fr-FR"/>
        </w:rPr>
        <w:t>autorisé</w:t>
      </w:r>
      <w:proofErr w:type="gramEnd"/>
      <w:r>
        <w:rPr>
          <w:rFonts w:eastAsia="Times New Roman" w:cstheme="minorHAnsi"/>
          <w:i/>
          <w:iCs/>
          <w:szCs w:val="24"/>
          <w:u w:val="single"/>
          <w:lang w:eastAsia="fr-FR"/>
        </w:rPr>
        <w:t xml:space="preserve"> à se présenter pour l’épreuve</w:t>
      </w:r>
      <w:r>
        <w:rPr>
          <w:rFonts w:eastAsia="Times New Roman" w:cstheme="minorHAnsi"/>
          <w:i/>
          <w:iCs/>
          <w:szCs w:val="24"/>
          <w:lang w:eastAsia="fr-FR"/>
        </w:rPr>
        <w:t>. Un nouvel horaire de passage lui sera attribué dans la mesure du possible.</w:t>
      </w:r>
    </w:p>
    <w:p w14:paraId="1C9724A1" w14:textId="77777777" w:rsidR="00954261" w:rsidRDefault="00A50F87">
      <w:pPr>
        <w:widowControl w:val="0"/>
        <w:tabs>
          <w:tab w:val="left" w:pos="820"/>
        </w:tabs>
        <w:spacing w:after="120" w:line="276" w:lineRule="auto"/>
        <w:jc w:val="both"/>
        <w:rPr>
          <w:rFonts w:eastAsia="Times New Roman" w:cstheme="minorHAnsi"/>
          <w:szCs w:val="24"/>
          <w:lang w:eastAsia="fr-FR"/>
        </w:rPr>
      </w:pPr>
      <w:r>
        <w:rPr>
          <w:rFonts w:eastAsia="Times New Roman" w:cstheme="minorHAnsi"/>
          <w:bCs/>
          <w:szCs w:val="24"/>
          <w:lang w:eastAsia="fr-FR"/>
        </w:rPr>
        <w:t>L’absence</w:t>
      </w:r>
      <w:r>
        <w:rPr>
          <w:rFonts w:eastAsia="Times New Roman" w:cstheme="minorHAnsi"/>
          <w:szCs w:val="24"/>
          <w:lang w:eastAsia="fr-FR"/>
        </w:rPr>
        <w:t xml:space="preserve"> à l’épreuve d’entretien entraîne la démission d’office du candidat du programme AgreenMob.</w:t>
      </w:r>
    </w:p>
    <w:p w14:paraId="6D64F1B4" w14:textId="77777777" w:rsidR="00954261" w:rsidRDefault="00A50F87">
      <w:pPr>
        <w:widowControl w:val="0"/>
        <w:tabs>
          <w:tab w:val="left" w:pos="820"/>
        </w:tabs>
        <w:spacing w:after="240" w:line="276" w:lineRule="auto"/>
        <w:jc w:val="both"/>
        <w:rPr>
          <w:rFonts w:eastAsia="Times New Roman" w:cstheme="minorHAnsi"/>
          <w:lang w:eastAsia="fr-FR"/>
        </w:rPr>
      </w:pPr>
      <w:r>
        <w:rPr>
          <w:rFonts w:eastAsia="Times New Roman" w:cstheme="minorHAnsi"/>
          <w:b/>
          <w:szCs w:val="24"/>
          <w:lang w:eastAsia="fr-FR"/>
        </w:rPr>
        <w:t xml:space="preserve">Retard : </w:t>
      </w:r>
      <w:r>
        <w:rPr>
          <w:rFonts w:eastAsia="Times New Roman" w:cstheme="minorHAnsi"/>
          <w:iCs/>
          <w:szCs w:val="24"/>
          <w:lang w:eastAsia="fr-FR"/>
        </w:rPr>
        <w:t>Si le candidat arrive après l’heure prévue pour son entretien,</w:t>
      </w:r>
      <w:r>
        <w:rPr>
          <w:rFonts w:eastAsia="Times New Roman" w:cstheme="minorHAnsi"/>
          <w:szCs w:val="24"/>
          <w:lang w:eastAsia="fr-FR"/>
        </w:rPr>
        <w:t xml:space="preserve"> il n’est pas interrogé et est déclaré absent. </w:t>
      </w:r>
      <w:r>
        <w:rPr>
          <w:rFonts w:eastAsia="Times New Roman" w:cstheme="minorHAnsi"/>
          <w:lang w:eastAsia="fr-FR"/>
        </w:rPr>
        <w:t>Toutefois si le retard est dû à un cas de force majeure que le candidat peut justifier, il peut solliciter l’attribution d’un nouvel horaire de passage. Dans certains cas particuliers, le candidat pourra être autorisé à passer l’épreuve pendant la durée du temps restant. Le président du jury appréciera la validité du motif du retard et la validité de l’épreuve.</w:t>
      </w:r>
    </w:p>
    <w:p w14:paraId="54996F97" w14:textId="77777777" w:rsidR="00954261" w:rsidRDefault="00A50F87">
      <w:pPr>
        <w:widowControl w:val="0"/>
        <w:tabs>
          <w:tab w:val="left" w:pos="820"/>
        </w:tabs>
        <w:spacing w:after="0" w:line="276" w:lineRule="auto"/>
        <w:jc w:val="both"/>
        <w:rPr>
          <w:rFonts w:eastAsia="Times New Roman" w:cstheme="minorHAnsi"/>
          <w:sz w:val="24"/>
          <w:szCs w:val="24"/>
          <w:lang w:eastAsia="fr-FR"/>
        </w:rPr>
      </w:pPr>
      <w:r>
        <w:rPr>
          <w:rFonts w:eastAsia="Times New Roman" w:cstheme="minorHAnsi"/>
          <w:b/>
          <w:bCs/>
          <w:iCs/>
          <w:szCs w:val="24"/>
          <w:lang w:eastAsia="fr-FR"/>
        </w:rPr>
        <w:t>IMPORTANT</w:t>
      </w:r>
      <w:r>
        <w:rPr>
          <w:rFonts w:eastAsia="Times New Roman" w:cstheme="minorHAnsi"/>
          <w:b/>
          <w:bCs/>
          <w:i/>
          <w:iCs/>
          <w:szCs w:val="24"/>
          <w:lang w:eastAsia="fr-FR"/>
        </w:rPr>
        <w:t xml:space="preserve"> : </w:t>
      </w:r>
      <w:r>
        <w:rPr>
          <w:rFonts w:eastAsia="Times New Roman" w:cstheme="minorHAnsi"/>
          <w:bCs/>
          <w:iCs/>
          <w:szCs w:val="24"/>
          <w:lang w:eastAsia="fr-FR"/>
        </w:rPr>
        <w:t xml:space="preserve">les candidats abandonnant le programme AgreenMob avant l’épreuve </w:t>
      </w:r>
      <w:r>
        <w:rPr>
          <w:rFonts w:eastAsia="Times New Roman" w:cstheme="minorHAnsi"/>
          <w:iCs/>
          <w:szCs w:val="24"/>
          <w:lang w:eastAsia="fr-FR"/>
        </w:rPr>
        <w:t>sont priés de faire connaître leur décision le plus tôt possible, par courrier électronique (</w:t>
      </w:r>
      <w:hyperlink r:id="rId12" w:tooltip="mailto:agreenmob@agreenium.fr" w:history="1">
        <w:r>
          <w:rPr>
            <w:rStyle w:val="Lienhypertexte"/>
            <w:rFonts w:eastAsia="Times New Roman" w:cstheme="minorHAnsi"/>
            <w:iCs/>
            <w:szCs w:val="24"/>
            <w:lang w:eastAsia="fr-FR"/>
          </w:rPr>
          <w:t>agreenmob@agreenium.fr</w:t>
        </w:r>
      </w:hyperlink>
      <w:r>
        <w:rPr>
          <w:rStyle w:val="Lienhypertexte"/>
          <w:rFonts w:eastAsia="Times New Roman" w:cstheme="minorHAnsi"/>
          <w:iCs/>
          <w:color w:val="auto"/>
          <w:szCs w:val="24"/>
          <w:u w:val="none"/>
          <w:lang w:eastAsia="fr-FR"/>
        </w:rPr>
        <w:t>)</w:t>
      </w:r>
      <w:r>
        <w:rPr>
          <w:rFonts w:eastAsia="Times New Roman" w:cstheme="minorHAnsi"/>
          <w:iCs/>
          <w:szCs w:val="24"/>
          <w:lang w:eastAsia="fr-FR"/>
        </w:rPr>
        <w:t xml:space="preserve">, afin de faciliter le déroulement des </w:t>
      </w:r>
      <w:r>
        <w:rPr>
          <w:rFonts w:eastAsia="Times New Roman" w:cstheme="minorHAnsi"/>
          <w:szCs w:val="24"/>
          <w:lang w:eastAsia="fr-FR"/>
        </w:rPr>
        <w:t>épreuves orales</w:t>
      </w:r>
      <w:r>
        <w:rPr>
          <w:rFonts w:eastAsia="Times New Roman" w:cstheme="minorHAnsi"/>
          <w:sz w:val="24"/>
          <w:szCs w:val="24"/>
          <w:lang w:eastAsia="fr-FR"/>
        </w:rPr>
        <w:t>.</w:t>
      </w:r>
    </w:p>
    <w:p w14:paraId="1D5ACE99" w14:textId="77777777" w:rsidR="00954261" w:rsidRDefault="00954261">
      <w:pPr>
        <w:widowControl w:val="0"/>
        <w:tabs>
          <w:tab w:val="left" w:pos="820"/>
        </w:tabs>
        <w:spacing w:after="120" w:line="276" w:lineRule="auto"/>
        <w:jc w:val="both"/>
        <w:rPr>
          <w:rFonts w:eastAsia="Times New Roman" w:cstheme="minorHAnsi"/>
          <w:sz w:val="24"/>
          <w:szCs w:val="24"/>
          <w:lang w:eastAsia="fr-FR"/>
        </w:rPr>
      </w:pPr>
    </w:p>
    <w:p w14:paraId="3FB475C9" w14:textId="77777777" w:rsidR="00954261" w:rsidRDefault="00A50F87">
      <w:pPr>
        <w:pStyle w:val="Titre1"/>
      </w:pPr>
      <w:bookmarkStart w:id="18" w:name="_Toc178348972"/>
      <w:r>
        <w:t>ETABLISSEMENT DES CLASSEMENTS</w:t>
      </w:r>
      <w:bookmarkEnd w:id="18"/>
    </w:p>
    <w:p w14:paraId="09176E53" w14:textId="77777777" w:rsidR="00954261" w:rsidRDefault="00A50F87">
      <w:pPr>
        <w:pStyle w:val="Titre2"/>
        <w:spacing w:before="240" w:after="0"/>
        <w:ind w:left="788" w:hanging="431"/>
      </w:pPr>
      <w:bookmarkStart w:id="19" w:name="_Toc178348973"/>
      <w:r>
        <w:t>ÉTABLISSEMENT DE LA LISTE D’ADMISSIBILITÉ</w:t>
      </w:r>
      <w:bookmarkEnd w:id="19"/>
    </w:p>
    <w:p w14:paraId="62F01282" w14:textId="77777777" w:rsidR="00954261" w:rsidRDefault="00A50F87">
      <w:pPr>
        <w:widowControl w:val="0"/>
        <w:tabs>
          <w:tab w:val="left" w:pos="820"/>
        </w:tabs>
        <w:spacing w:line="276" w:lineRule="auto"/>
        <w:jc w:val="both"/>
        <w:rPr>
          <w:rFonts w:eastAsia="Times New Roman" w:cstheme="minorHAnsi"/>
          <w:szCs w:val="24"/>
          <w:lang w:eastAsia="fr-FR"/>
        </w:rPr>
      </w:pPr>
      <w:r>
        <w:rPr>
          <w:rFonts w:eastAsia="Times New Roman" w:cstheme="minorHAnsi"/>
          <w:szCs w:val="24"/>
          <w:lang w:eastAsia="fr-FR"/>
        </w:rPr>
        <w:t>La liste d’admissibilité est établie par la commission AgreenMob à partir de l’examen des dossiers.</w:t>
      </w:r>
    </w:p>
    <w:p w14:paraId="2F02F373" w14:textId="77777777" w:rsidR="00954261" w:rsidRDefault="00A50F87">
      <w:pPr>
        <w:widowControl w:val="0"/>
        <w:tabs>
          <w:tab w:val="left" w:pos="820"/>
        </w:tabs>
        <w:spacing w:after="0" w:line="276" w:lineRule="auto"/>
        <w:jc w:val="both"/>
        <w:rPr>
          <w:rFonts w:eastAsia="Times New Roman" w:cstheme="minorHAnsi"/>
          <w:szCs w:val="24"/>
          <w:lang w:eastAsia="fr-FR"/>
        </w:rPr>
      </w:pPr>
      <w:r>
        <w:rPr>
          <w:rFonts w:eastAsia="Times New Roman" w:cstheme="minorHAnsi"/>
          <w:szCs w:val="24"/>
          <w:lang w:eastAsia="fr-FR"/>
        </w:rPr>
        <w:t>La commission examine l’ensemble des dossiers, et vérifie notamment leur cohérence avec le classement des écoles par le candidat. Elle arrête la liste des candidats admissibles.</w:t>
      </w:r>
    </w:p>
    <w:p w14:paraId="1F423DAC" w14:textId="77777777" w:rsidR="00954261" w:rsidRDefault="00A50F87">
      <w:pPr>
        <w:widowControl w:val="0"/>
        <w:tabs>
          <w:tab w:val="left" w:pos="820"/>
        </w:tabs>
        <w:spacing w:after="0" w:line="276" w:lineRule="auto"/>
        <w:jc w:val="both"/>
        <w:rPr>
          <w:rFonts w:ascii="All Round Gothic Demi" w:eastAsia="Times New Roman" w:hAnsi="All Round Gothic Demi" w:cs="Times New Roman"/>
          <w:color w:val="58595B"/>
          <w:sz w:val="24"/>
          <w:szCs w:val="24"/>
          <w:lang w:eastAsia="fr-FR"/>
        </w:rPr>
      </w:pPr>
      <w:r>
        <w:rPr>
          <w:rFonts w:ascii="All Round Gothic Demi" w:eastAsia="Times New Roman" w:hAnsi="All Round Gothic Demi" w:cs="Times New Roman"/>
          <w:color w:val="58595B"/>
          <w:sz w:val="24"/>
          <w:szCs w:val="24"/>
          <w:lang w:eastAsia="fr-FR"/>
        </w:rPr>
        <w:t>   </w:t>
      </w:r>
    </w:p>
    <w:p w14:paraId="4B44C07B" w14:textId="77777777" w:rsidR="00954261" w:rsidRDefault="00A50F87">
      <w:pPr>
        <w:pStyle w:val="Titre2"/>
        <w:spacing w:after="0"/>
      </w:pPr>
      <w:bookmarkStart w:id="20" w:name="_Toc178348974"/>
      <w:r>
        <w:t>ÉTABLISSEMENT DES LISTES D’ADMISSION</w:t>
      </w:r>
      <w:bookmarkEnd w:id="20"/>
    </w:p>
    <w:p w14:paraId="27991616" w14:textId="77777777" w:rsidR="00954261" w:rsidRDefault="00A50F87">
      <w:pPr>
        <w:widowControl w:val="0"/>
        <w:spacing w:after="0" w:line="276" w:lineRule="auto"/>
        <w:jc w:val="both"/>
        <w:rPr>
          <w:rFonts w:eastAsia="Times New Roman" w:cstheme="minorHAnsi"/>
          <w:szCs w:val="24"/>
          <w:lang w:eastAsia="fr-FR"/>
        </w:rPr>
      </w:pPr>
      <w:r>
        <w:rPr>
          <w:rFonts w:eastAsia="Times New Roman" w:cstheme="minorHAnsi"/>
          <w:szCs w:val="24"/>
          <w:lang w:eastAsia="fr-FR"/>
        </w:rPr>
        <w:t>À la suite des entretiens de motivation, un classement est établi sur la base de critères validés par l’ensemble des écoles, à partir d’un référentiel commun.</w:t>
      </w:r>
    </w:p>
    <w:p w14:paraId="36F116F2" w14:textId="77777777" w:rsidR="00954261" w:rsidRDefault="00954261">
      <w:pPr>
        <w:widowControl w:val="0"/>
        <w:spacing w:after="0" w:line="276" w:lineRule="auto"/>
        <w:jc w:val="both"/>
        <w:rPr>
          <w:rFonts w:eastAsia="Times New Roman" w:cstheme="minorHAnsi"/>
          <w:szCs w:val="24"/>
          <w:lang w:eastAsia="fr-FR"/>
        </w:rPr>
      </w:pPr>
    </w:p>
    <w:p w14:paraId="5A0A0A4B" w14:textId="77777777" w:rsidR="00954261" w:rsidRDefault="00A50F87">
      <w:pPr>
        <w:widowControl w:val="0"/>
        <w:spacing w:after="0" w:line="276" w:lineRule="auto"/>
        <w:jc w:val="both"/>
        <w:rPr>
          <w:rFonts w:eastAsia="Times New Roman" w:cstheme="minorHAnsi"/>
          <w:szCs w:val="24"/>
          <w:lang w:eastAsia="fr-FR"/>
        </w:rPr>
      </w:pPr>
      <w:r>
        <w:rPr>
          <w:rFonts w:eastAsia="Times New Roman" w:cstheme="minorHAnsi"/>
          <w:szCs w:val="24"/>
          <w:lang w:eastAsia="fr-FR"/>
        </w:rPr>
        <w:lastRenderedPageBreak/>
        <w:t>Une liste principale des candidats admis est établie par la commission qui précise, pour chaque candidat, la formation d’affectation proposée. Cette proposition prend en considération les vœux des candidats et le nombre de places disponibles.</w:t>
      </w:r>
    </w:p>
    <w:p w14:paraId="4E39CAEB" w14:textId="77777777" w:rsidR="00954261" w:rsidRDefault="00954261">
      <w:pPr>
        <w:widowControl w:val="0"/>
        <w:spacing w:after="0" w:line="276" w:lineRule="auto"/>
        <w:jc w:val="both"/>
        <w:rPr>
          <w:rFonts w:eastAsia="Times New Roman" w:cstheme="minorHAnsi"/>
          <w:szCs w:val="24"/>
          <w:lang w:eastAsia="fr-FR"/>
        </w:rPr>
      </w:pPr>
    </w:p>
    <w:p w14:paraId="1A2A73E3" w14:textId="77777777" w:rsidR="00954261" w:rsidRDefault="00A50F87">
      <w:pPr>
        <w:widowControl w:val="0"/>
        <w:spacing w:after="0" w:line="276" w:lineRule="auto"/>
        <w:jc w:val="both"/>
        <w:rPr>
          <w:rFonts w:eastAsia="Times New Roman" w:cstheme="minorHAnsi"/>
          <w:szCs w:val="24"/>
          <w:lang w:eastAsia="fr-FR"/>
        </w:rPr>
      </w:pPr>
      <w:r>
        <w:rPr>
          <w:rFonts w:eastAsia="Times New Roman" w:cstheme="minorHAnsi"/>
          <w:szCs w:val="24"/>
          <w:lang w:eastAsia="fr-FR"/>
        </w:rPr>
        <w:t>Une liste complémentaire est établie par la commission. En cas de démission de candidats inscrits sur liste principale, il est fait appel aux candidats de la liste complémentaire qui sont affectés comme précédemment (en fonction de leurs vœux et des places disponibles).</w:t>
      </w:r>
    </w:p>
    <w:p w14:paraId="69AC8F1F" w14:textId="77777777" w:rsidR="00954261" w:rsidRDefault="00A50F87">
      <w:pPr>
        <w:widowControl w:val="0"/>
        <w:spacing w:after="0" w:line="276" w:lineRule="auto"/>
        <w:jc w:val="both"/>
        <w:rPr>
          <w:rFonts w:ascii="All Round Gothic Demi" w:eastAsia="Times New Roman" w:hAnsi="All Round Gothic Demi" w:cs="Times New Roman"/>
          <w:sz w:val="24"/>
          <w:szCs w:val="24"/>
          <w:lang w:eastAsia="fr-FR"/>
        </w:rPr>
      </w:pPr>
      <w:r>
        <w:rPr>
          <w:rFonts w:ascii="All Round Gothic Demi" w:eastAsia="Times New Roman" w:hAnsi="All Round Gothic Demi" w:cs="Times New Roman"/>
          <w:sz w:val="24"/>
          <w:szCs w:val="24"/>
          <w:lang w:eastAsia="fr-FR"/>
        </w:rPr>
        <w:t> </w:t>
      </w:r>
    </w:p>
    <w:p w14:paraId="1BFB994A" w14:textId="77777777" w:rsidR="00954261" w:rsidRDefault="00A50F87">
      <w:pPr>
        <w:pStyle w:val="Titre1"/>
      </w:pPr>
      <w:bookmarkStart w:id="21" w:name="RESULTATS"/>
      <w:bookmarkStart w:id="22" w:name="_Toc178348975"/>
      <w:r>
        <w:t>RÉSULTATS</w:t>
      </w:r>
      <w:bookmarkEnd w:id="21"/>
      <w:bookmarkEnd w:id="22"/>
    </w:p>
    <w:p w14:paraId="1E347D7B" w14:textId="77777777" w:rsidR="00954261" w:rsidRDefault="00A50F87">
      <w:pPr>
        <w:widowControl w:val="0"/>
        <w:spacing w:after="0" w:line="276" w:lineRule="auto"/>
        <w:rPr>
          <w:rFonts w:ascii="All Round Gothic Demi" w:eastAsia="Times New Roman" w:hAnsi="All Round Gothic Demi" w:cs="Times New Roman"/>
          <w:sz w:val="24"/>
          <w:szCs w:val="24"/>
          <w:lang w:eastAsia="fr-FR"/>
        </w:rPr>
      </w:pPr>
      <w:r>
        <w:rPr>
          <w:rFonts w:ascii="All Round Gothic Demi" w:eastAsia="Times New Roman" w:hAnsi="All Round Gothic Demi" w:cs="Times New Roman"/>
          <w:sz w:val="24"/>
          <w:szCs w:val="24"/>
          <w:lang w:eastAsia="fr-FR"/>
        </w:rPr>
        <w:t> </w:t>
      </w:r>
    </w:p>
    <w:p w14:paraId="5EBEAA1A" w14:textId="77777777" w:rsidR="00954261" w:rsidRDefault="00A50F87">
      <w:pPr>
        <w:pStyle w:val="Titre2"/>
        <w:spacing w:after="0"/>
      </w:pPr>
      <w:bookmarkStart w:id="23" w:name="_Toc178348976"/>
      <w:r>
        <w:t>PUBLICATION DES RÉSULTATS</w:t>
      </w:r>
      <w:bookmarkEnd w:id="23"/>
    </w:p>
    <w:p w14:paraId="5390A027" w14:textId="77777777" w:rsidR="00954261" w:rsidRDefault="00A50F87">
      <w:pPr>
        <w:widowControl w:val="0"/>
        <w:spacing w:line="276" w:lineRule="auto"/>
        <w:jc w:val="both"/>
        <w:rPr>
          <w:rFonts w:eastAsia="Times New Roman" w:cstheme="minorHAnsi"/>
          <w:b/>
          <w:bCs/>
          <w:szCs w:val="24"/>
          <w:lang w:eastAsia="fr-FR"/>
        </w:rPr>
      </w:pPr>
      <w:r>
        <w:rPr>
          <w:rFonts w:eastAsia="Times New Roman" w:cstheme="minorHAnsi"/>
          <w:bCs/>
          <w:iCs/>
          <w:szCs w:val="24"/>
          <w:lang w:eastAsia="fr-FR"/>
        </w:rPr>
        <w:t>Les candidats sont informés par courriel de leur admissibilité pour les entretiens de sélection</w:t>
      </w:r>
      <w:r>
        <w:rPr>
          <w:rFonts w:eastAsia="Times New Roman" w:cstheme="minorHAnsi"/>
          <w:szCs w:val="24"/>
          <w:lang w:eastAsia="fr-FR"/>
        </w:rPr>
        <w:t xml:space="preserve"> au plus tard le 17 mars 2025</w:t>
      </w:r>
      <w:r>
        <w:rPr>
          <w:rFonts w:eastAsia="Times New Roman" w:cstheme="minorHAnsi"/>
          <w:b/>
          <w:bCs/>
          <w:szCs w:val="24"/>
          <w:lang w:eastAsia="fr-FR"/>
        </w:rPr>
        <w:t xml:space="preserve">*, </w:t>
      </w:r>
      <w:r>
        <w:rPr>
          <w:rFonts w:eastAsia="Times New Roman" w:cstheme="minorHAnsi"/>
          <w:bCs/>
          <w:szCs w:val="24"/>
          <w:lang w:eastAsia="fr-FR"/>
        </w:rPr>
        <w:t xml:space="preserve">et pour leur </w:t>
      </w:r>
      <w:r>
        <w:rPr>
          <w:rFonts w:eastAsia="Times New Roman" w:cstheme="minorHAnsi"/>
          <w:szCs w:val="24"/>
          <w:lang w:eastAsia="fr-FR"/>
        </w:rPr>
        <w:t xml:space="preserve">admission ou non admission dans l’une des écoles à compter du </w:t>
      </w:r>
      <w:r>
        <w:rPr>
          <w:rFonts w:eastAsia="Times New Roman" w:cstheme="minorHAnsi"/>
          <w:b/>
          <w:bCs/>
          <w:szCs w:val="24"/>
          <w:lang w:eastAsia="fr-FR"/>
        </w:rPr>
        <w:t>12 mai 2025*.</w:t>
      </w:r>
    </w:p>
    <w:p w14:paraId="6E5CE9E8" w14:textId="77777777" w:rsidR="00954261" w:rsidRDefault="00A50F87">
      <w:pPr>
        <w:spacing w:after="0" w:line="276" w:lineRule="auto"/>
        <w:jc w:val="both"/>
        <w:rPr>
          <w:rFonts w:eastAsia="Times New Roman" w:cstheme="minorHAnsi"/>
          <w:szCs w:val="24"/>
          <w:lang w:eastAsia="fr-FR"/>
        </w:rPr>
      </w:pPr>
      <w:r>
        <w:rPr>
          <w:rFonts w:eastAsia="Times New Roman" w:cstheme="minorHAnsi"/>
          <w:szCs w:val="24"/>
          <w:lang w:eastAsia="fr-FR"/>
        </w:rPr>
        <w:t>Les candidats retenus après entretien sont prévenus par courriel qu’une proposition leur est faite. Les candidats retenus devront impérativement répondre à cette 1</w:t>
      </w:r>
      <w:r>
        <w:rPr>
          <w:rFonts w:eastAsia="Times New Roman" w:cstheme="minorHAnsi"/>
          <w:szCs w:val="24"/>
          <w:vertAlign w:val="superscript"/>
          <w:lang w:eastAsia="fr-FR"/>
        </w:rPr>
        <w:t>ère</w:t>
      </w:r>
      <w:r>
        <w:rPr>
          <w:rFonts w:eastAsia="Times New Roman" w:cstheme="minorHAnsi"/>
          <w:szCs w:val="24"/>
          <w:lang w:eastAsia="fr-FR"/>
        </w:rPr>
        <w:t xml:space="preserve"> proposition dans un délai </w:t>
      </w:r>
      <w:r>
        <w:rPr>
          <w:rFonts w:eastAsia="Times New Roman" w:cstheme="minorHAnsi"/>
          <w:b/>
          <w:bCs/>
          <w:szCs w:val="24"/>
          <w:lang w:eastAsia="fr-FR"/>
        </w:rPr>
        <w:t>de cinq jours ouvrés</w:t>
      </w:r>
      <w:r>
        <w:rPr>
          <w:rFonts w:eastAsia="Times New Roman" w:cstheme="minorHAnsi"/>
          <w:szCs w:val="24"/>
          <w:lang w:eastAsia="fr-FR"/>
        </w:rPr>
        <w:t xml:space="preserve"> </w:t>
      </w:r>
      <w:r>
        <w:rPr>
          <w:rFonts w:eastAsia="Times New Roman" w:cstheme="minorHAnsi"/>
          <w:b/>
          <w:szCs w:val="24"/>
          <w:lang w:eastAsia="fr-FR"/>
        </w:rPr>
        <w:t xml:space="preserve">par courriel à l’adresse </w:t>
      </w:r>
      <w:hyperlink r:id="rId13" w:tooltip="mailto:agreenmob@agreenium.fr" w:history="1">
        <w:r>
          <w:rPr>
            <w:rStyle w:val="Lienhypertexte"/>
            <w:rFonts w:eastAsia="Times New Roman" w:cstheme="minorHAnsi"/>
            <w:b/>
            <w:szCs w:val="24"/>
            <w:lang w:eastAsia="fr-FR"/>
          </w:rPr>
          <w:t>agreenmob@agreenium.fr</w:t>
        </w:r>
      </w:hyperlink>
      <w:r>
        <w:rPr>
          <w:rStyle w:val="Lienhypertexte"/>
          <w:rFonts w:eastAsia="Times New Roman" w:cstheme="minorHAnsi"/>
          <w:b/>
          <w:color w:val="auto"/>
          <w:szCs w:val="24"/>
          <w:lang w:eastAsia="fr-FR"/>
        </w:rPr>
        <w:t>.</w:t>
      </w:r>
      <w:r>
        <w:rPr>
          <w:rFonts w:eastAsia="Times New Roman" w:cstheme="minorHAnsi"/>
          <w:szCs w:val="24"/>
          <w:lang w:eastAsia="fr-FR"/>
        </w:rPr>
        <w:t xml:space="preserve"> Un candidat ayant confirmé sa place dans un établissement l’accepte définitivement.</w:t>
      </w:r>
    </w:p>
    <w:p w14:paraId="7D865F24" w14:textId="77777777" w:rsidR="00954261" w:rsidRDefault="00A50F87">
      <w:pPr>
        <w:widowControl w:val="0"/>
        <w:spacing w:after="0" w:line="276" w:lineRule="auto"/>
        <w:jc w:val="both"/>
        <w:rPr>
          <w:rFonts w:eastAsia="Times New Roman" w:cstheme="minorHAnsi"/>
          <w:szCs w:val="24"/>
          <w:lang w:eastAsia="fr-FR"/>
        </w:rPr>
      </w:pPr>
      <w:r>
        <w:rPr>
          <w:rFonts w:eastAsia="Times New Roman" w:cstheme="minorHAnsi"/>
          <w:szCs w:val="24"/>
          <w:lang w:eastAsia="fr-FR"/>
        </w:rPr>
        <w:t> </w:t>
      </w:r>
    </w:p>
    <w:p w14:paraId="26FCDDA4" w14:textId="77777777" w:rsidR="00954261" w:rsidRDefault="00A50F87">
      <w:pPr>
        <w:widowControl w:val="0"/>
        <w:spacing w:after="0" w:line="276" w:lineRule="auto"/>
        <w:jc w:val="both"/>
        <w:rPr>
          <w:rFonts w:eastAsia="Times New Roman" w:cstheme="minorHAnsi"/>
          <w:szCs w:val="24"/>
          <w:lang w:eastAsia="fr-FR"/>
        </w:rPr>
      </w:pPr>
      <w:r>
        <w:rPr>
          <w:rFonts w:eastAsia="Times New Roman" w:cstheme="minorHAnsi"/>
          <w:szCs w:val="24"/>
          <w:lang w:eastAsia="fr-FR"/>
        </w:rPr>
        <w:t xml:space="preserve">La démission d’un candidat figurant sur une liste d’admission entraîne le remplacement du démissionnaire dans la place qu’il occupait par un candidat de la liste complémentaire pouvant y prétendre. </w:t>
      </w:r>
      <w:r>
        <w:rPr>
          <w:rFonts w:eastAsia="Times New Roman" w:cstheme="minorHAnsi"/>
          <w:szCs w:val="24"/>
          <w:u w:val="single"/>
          <w:lang w:eastAsia="fr-FR"/>
        </w:rPr>
        <w:t>Toute démission ultérieure,</w:t>
      </w:r>
      <w:r>
        <w:rPr>
          <w:rFonts w:eastAsia="Times New Roman" w:cstheme="minorHAnsi"/>
          <w:szCs w:val="24"/>
          <w:lang w:eastAsia="fr-FR"/>
        </w:rPr>
        <w:t> </w:t>
      </w:r>
      <w:r>
        <w:rPr>
          <w:rFonts w:eastAsia="Times New Roman" w:cstheme="minorHAnsi"/>
          <w:iCs/>
          <w:szCs w:val="24"/>
          <w:lang w:eastAsia="fr-FR"/>
        </w:rPr>
        <w:t>c’est-à-dire faisant suite à une décision initiale d’acceptation de la proposition transmise</w:t>
      </w:r>
      <w:r>
        <w:rPr>
          <w:rFonts w:eastAsia="Times New Roman" w:cstheme="minorHAnsi"/>
          <w:i/>
          <w:iCs/>
          <w:szCs w:val="24"/>
          <w:lang w:eastAsia="fr-FR"/>
        </w:rPr>
        <w:t>,</w:t>
      </w:r>
      <w:r>
        <w:rPr>
          <w:rFonts w:eastAsia="Times New Roman" w:cstheme="minorHAnsi"/>
          <w:szCs w:val="24"/>
          <w:lang w:eastAsia="fr-FR"/>
        </w:rPr>
        <w:t> </w:t>
      </w:r>
      <w:r>
        <w:rPr>
          <w:rFonts w:eastAsia="Times New Roman" w:cstheme="minorHAnsi"/>
          <w:szCs w:val="24"/>
          <w:u w:val="single"/>
          <w:lang w:eastAsia="fr-FR"/>
        </w:rPr>
        <w:t>devra être signalée le plus rapidement possible</w:t>
      </w:r>
      <w:r>
        <w:rPr>
          <w:rFonts w:eastAsia="Times New Roman" w:cstheme="minorHAnsi"/>
          <w:szCs w:val="24"/>
          <w:lang w:eastAsia="fr-FR"/>
        </w:rPr>
        <w:t>.</w:t>
      </w:r>
    </w:p>
    <w:p w14:paraId="4DCFB644" w14:textId="77777777" w:rsidR="00954261" w:rsidRDefault="00954261">
      <w:pPr>
        <w:spacing w:after="0" w:line="276" w:lineRule="auto"/>
        <w:jc w:val="both"/>
        <w:rPr>
          <w:rFonts w:eastAsia="Times New Roman" w:cstheme="minorHAnsi"/>
          <w:bCs/>
          <w:szCs w:val="24"/>
          <w:lang w:eastAsia="fr-FR"/>
        </w:rPr>
      </w:pPr>
    </w:p>
    <w:p w14:paraId="349038CD" w14:textId="77777777" w:rsidR="00954261" w:rsidRDefault="00A50F87">
      <w:pPr>
        <w:spacing w:after="0" w:line="276" w:lineRule="auto"/>
        <w:jc w:val="both"/>
        <w:rPr>
          <w:rFonts w:eastAsia="Times New Roman" w:cstheme="minorHAnsi"/>
          <w:bCs/>
          <w:szCs w:val="24"/>
          <w:lang w:eastAsia="fr-FR"/>
        </w:rPr>
      </w:pPr>
      <w:r>
        <w:rPr>
          <w:rFonts w:eastAsia="Times New Roman" w:cstheme="minorHAnsi"/>
          <w:bCs/>
          <w:szCs w:val="24"/>
          <w:lang w:eastAsia="fr-FR"/>
        </w:rPr>
        <w:t>La proposition d’admission prend en considération :</w:t>
      </w:r>
    </w:p>
    <w:p w14:paraId="1BDFF21B" w14:textId="77777777" w:rsidR="00954261" w:rsidRDefault="00A50F87">
      <w:pPr>
        <w:pStyle w:val="Paragraphedeliste"/>
        <w:widowControl w:val="0"/>
        <w:numPr>
          <w:ilvl w:val="0"/>
          <w:numId w:val="18"/>
        </w:numPr>
        <w:spacing w:after="0" w:line="276" w:lineRule="auto"/>
        <w:jc w:val="both"/>
        <w:rPr>
          <w:rFonts w:eastAsia="Times New Roman" w:cstheme="minorHAnsi"/>
          <w:szCs w:val="24"/>
          <w:lang w:eastAsia="fr-FR"/>
        </w:rPr>
      </w:pPr>
      <w:r>
        <w:rPr>
          <w:rFonts w:eastAsia="Times New Roman" w:cstheme="minorHAnsi"/>
          <w:szCs w:val="24"/>
          <w:lang w:eastAsia="fr-FR"/>
        </w:rPr>
        <w:t>Les vœux exprimés par les candidats ;</w:t>
      </w:r>
    </w:p>
    <w:p w14:paraId="7957C348" w14:textId="77777777" w:rsidR="00954261" w:rsidRDefault="00A50F87">
      <w:pPr>
        <w:pStyle w:val="Paragraphedeliste"/>
        <w:widowControl w:val="0"/>
        <w:numPr>
          <w:ilvl w:val="0"/>
          <w:numId w:val="18"/>
        </w:numPr>
        <w:spacing w:after="0" w:line="276" w:lineRule="auto"/>
        <w:jc w:val="both"/>
        <w:rPr>
          <w:rFonts w:eastAsia="Times New Roman" w:cstheme="minorHAnsi"/>
          <w:szCs w:val="24"/>
          <w:lang w:eastAsia="fr-FR"/>
        </w:rPr>
      </w:pPr>
      <w:r>
        <w:rPr>
          <w:rFonts w:eastAsia="Times New Roman" w:cstheme="minorHAnsi"/>
          <w:szCs w:val="24"/>
          <w:lang w:eastAsia="fr-FR"/>
        </w:rPr>
        <w:t>Le nombre de places offertes au concours DE par chaque école</w:t>
      </w:r>
      <w:r>
        <w:rPr>
          <w:rFonts w:eastAsia="Times New Roman" w:cstheme="minorHAnsi"/>
          <w:sz w:val="24"/>
          <w:szCs w:val="24"/>
          <w:lang w:eastAsia="fr-FR"/>
        </w:rPr>
        <w:t>.</w:t>
      </w:r>
    </w:p>
    <w:p w14:paraId="36EB9A51" w14:textId="77777777" w:rsidR="00954261" w:rsidRDefault="00954261">
      <w:pPr>
        <w:widowControl w:val="0"/>
        <w:spacing w:line="276" w:lineRule="auto"/>
        <w:jc w:val="both"/>
        <w:rPr>
          <w:rFonts w:eastAsia="Times New Roman" w:cstheme="minorHAnsi"/>
          <w:sz w:val="24"/>
          <w:szCs w:val="24"/>
          <w:lang w:eastAsia="fr-FR"/>
        </w:rPr>
      </w:pPr>
    </w:p>
    <w:p w14:paraId="078BE454" w14:textId="77777777" w:rsidR="00954261" w:rsidRDefault="00A50F87">
      <w:pPr>
        <w:pStyle w:val="Titre2"/>
        <w:spacing w:after="0"/>
      </w:pPr>
      <w:bookmarkStart w:id="24" w:name="_Toc178348977"/>
      <w:r>
        <w:t>RÉCLAMATIONS</w:t>
      </w:r>
      <w:bookmarkEnd w:id="24"/>
    </w:p>
    <w:p w14:paraId="1CC32842" w14:textId="77777777" w:rsidR="00954261" w:rsidRDefault="00A50F87">
      <w:pPr>
        <w:widowControl w:val="0"/>
        <w:spacing w:line="276" w:lineRule="auto"/>
        <w:jc w:val="both"/>
        <w:rPr>
          <w:rFonts w:eastAsia="Times New Roman" w:cstheme="minorHAnsi"/>
          <w:szCs w:val="24"/>
          <w:lang w:eastAsia="fr-FR"/>
        </w:rPr>
      </w:pPr>
      <w:r>
        <w:rPr>
          <w:rFonts w:eastAsia="Times New Roman" w:cstheme="minorHAnsi"/>
          <w:szCs w:val="24"/>
          <w:lang w:eastAsia="fr-FR"/>
        </w:rPr>
        <w:t xml:space="preserve">L’appréciation de la qualité des prestations des candidats relève de la compétence souveraine du jury. </w:t>
      </w:r>
    </w:p>
    <w:p w14:paraId="05EC393B" w14:textId="76D2D669" w:rsidR="00954261" w:rsidRDefault="00A50F87">
      <w:pPr>
        <w:widowControl w:val="0"/>
        <w:spacing w:after="0" w:line="276" w:lineRule="auto"/>
        <w:jc w:val="both"/>
        <w:rPr>
          <w:rFonts w:eastAsia="Times New Roman" w:cstheme="minorHAnsi"/>
          <w:b/>
          <w:bCs/>
          <w:iCs/>
          <w:szCs w:val="24"/>
          <w:lang w:eastAsia="fr-FR"/>
        </w:rPr>
      </w:pPr>
      <w:r>
        <w:rPr>
          <w:rFonts w:eastAsia="Times New Roman" w:cstheme="minorHAnsi"/>
          <w:iCs/>
          <w:szCs w:val="24"/>
          <w:lang w:eastAsia="fr-FR"/>
        </w:rPr>
        <w:t xml:space="preserve">Il ne sera répondu qu’aux réclamations </w:t>
      </w:r>
      <w:r>
        <w:rPr>
          <w:rFonts w:eastAsia="Times New Roman" w:cstheme="minorHAnsi"/>
          <w:b/>
          <w:bCs/>
          <w:iCs/>
          <w:szCs w:val="24"/>
          <w:lang w:eastAsia="fr-FR"/>
        </w:rPr>
        <w:t>faites par le candidat lui-même</w:t>
      </w:r>
      <w:r>
        <w:rPr>
          <w:rFonts w:eastAsia="Times New Roman" w:cstheme="minorHAnsi"/>
          <w:iCs/>
          <w:szCs w:val="24"/>
          <w:lang w:eastAsia="fr-FR"/>
        </w:rPr>
        <w:t>. Le candidat doit impérativement préciser ses nom</w:t>
      </w:r>
      <w:r w:rsidR="00A02C1B">
        <w:rPr>
          <w:rFonts w:eastAsia="Times New Roman" w:cstheme="minorHAnsi"/>
          <w:iCs/>
          <w:szCs w:val="24"/>
          <w:lang w:eastAsia="fr-FR"/>
        </w:rPr>
        <w:t xml:space="preserve"> et</w:t>
      </w:r>
      <w:r>
        <w:rPr>
          <w:rFonts w:eastAsia="Times New Roman" w:cstheme="minorHAnsi"/>
          <w:iCs/>
          <w:szCs w:val="24"/>
          <w:lang w:eastAsia="fr-FR"/>
        </w:rPr>
        <w:t xml:space="preserve"> prénom</w:t>
      </w:r>
      <w:r w:rsidR="00A02C1B">
        <w:rPr>
          <w:rFonts w:eastAsia="Times New Roman" w:cstheme="minorHAnsi"/>
          <w:iCs/>
          <w:szCs w:val="24"/>
          <w:lang w:eastAsia="fr-FR"/>
        </w:rPr>
        <w:t>.</w:t>
      </w:r>
    </w:p>
    <w:p w14:paraId="525C4A53" w14:textId="77777777" w:rsidR="00954261" w:rsidRDefault="00954261">
      <w:pPr>
        <w:widowControl w:val="0"/>
        <w:spacing w:line="276" w:lineRule="auto"/>
        <w:jc w:val="both"/>
        <w:rPr>
          <w:rFonts w:eastAsia="Times New Roman" w:cstheme="minorHAnsi"/>
          <w:b/>
          <w:bCs/>
          <w:iCs/>
          <w:szCs w:val="24"/>
          <w:lang w:eastAsia="fr-FR"/>
        </w:rPr>
      </w:pPr>
      <w:bookmarkStart w:id="25" w:name="_GoBack"/>
      <w:bookmarkEnd w:id="25"/>
    </w:p>
    <w:p w14:paraId="399C2D57" w14:textId="77777777" w:rsidR="00954261" w:rsidRDefault="00A50F87">
      <w:pPr>
        <w:pStyle w:val="Titre1"/>
      </w:pPr>
      <w:bookmarkStart w:id="26" w:name="INTEGRATION"/>
      <w:bookmarkStart w:id="27" w:name="_Toc178348978"/>
      <w:r>
        <w:t>INTÉGRATION DANS LES ÉCOLES</w:t>
      </w:r>
      <w:bookmarkEnd w:id="26"/>
      <w:bookmarkEnd w:id="27"/>
    </w:p>
    <w:p w14:paraId="37843E9E" w14:textId="77777777" w:rsidR="00954261" w:rsidRDefault="00A50F87">
      <w:pPr>
        <w:pStyle w:val="Titre2"/>
        <w:spacing w:before="240" w:after="0"/>
      </w:pPr>
      <w:bookmarkStart w:id="28" w:name="_Toc178348979"/>
      <w:r>
        <w:t>INSCRIPTION DANS LES ÉCOLES</w:t>
      </w:r>
      <w:bookmarkEnd w:id="28"/>
    </w:p>
    <w:p w14:paraId="67630F55" w14:textId="77777777" w:rsidR="00954261" w:rsidRDefault="00A50F87">
      <w:pPr>
        <w:widowControl w:val="0"/>
        <w:spacing w:after="120" w:line="276" w:lineRule="auto"/>
        <w:jc w:val="both"/>
        <w:rPr>
          <w:rFonts w:eastAsia="Times New Roman" w:cstheme="minorHAnsi"/>
          <w:lang w:eastAsia="fr-FR"/>
        </w:rPr>
      </w:pPr>
      <w:r>
        <w:rPr>
          <w:rFonts w:eastAsia="Times New Roman" w:cstheme="minorHAnsi"/>
          <w:lang w:eastAsia="fr-FR"/>
        </w:rPr>
        <w:t>Chaque école contacte ses futurs élèves pour les modalités d’inscription et de rentrée.</w:t>
      </w:r>
    </w:p>
    <w:p w14:paraId="5E502B36" w14:textId="77777777" w:rsidR="00954261" w:rsidRDefault="00A50F87">
      <w:pPr>
        <w:widowControl w:val="0"/>
        <w:spacing w:after="0" w:line="276" w:lineRule="auto"/>
        <w:jc w:val="both"/>
        <w:rPr>
          <w:rFonts w:eastAsia="Times New Roman" w:cstheme="minorHAnsi"/>
          <w:b/>
          <w:bCs/>
          <w:lang w:eastAsia="fr-FR"/>
        </w:rPr>
      </w:pPr>
      <w:r>
        <w:rPr>
          <w:rFonts w:eastAsia="Times New Roman" w:cstheme="minorHAnsi"/>
          <w:b/>
          <w:bCs/>
          <w:lang w:eastAsia="fr-FR"/>
        </w:rPr>
        <w:t>Les frais de scolarité pour l’année universitaire 2024-2025 s’élèvent à :</w:t>
      </w:r>
    </w:p>
    <w:p w14:paraId="44968FB5" w14:textId="77777777" w:rsidR="00954261" w:rsidRDefault="00A50F87">
      <w:pPr>
        <w:pStyle w:val="Paragraphedeliste"/>
        <w:widowControl w:val="0"/>
        <w:numPr>
          <w:ilvl w:val="0"/>
          <w:numId w:val="3"/>
        </w:numPr>
        <w:spacing w:after="100" w:line="276" w:lineRule="auto"/>
        <w:ind w:left="714" w:hanging="357"/>
        <w:contextualSpacing w:val="0"/>
        <w:jc w:val="both"/>
        <w:rPr>
          <w:rFonts w:eastAsia="Times New Roman" w:cstheme="minorHAnsi"/>
        </w:rPr>
      </w:pPr>
      <w:r>
        <w:rPr>
          <w:rFonts w:eastAsia="Times New Roman" w:cstheme="minorHAnsi"/>
          <w:b/>
          <w:bCs/>
          <w:lang w:eastAsia="fr-FR"/>
        </w:rPr>
        <w:t xml:space="preserve">1959 € + 103 € </w:t>
      </w:r>
      <w:r>
        <w:rPr>
          <w:rFonts w:eastAsia="Times New Roman" w:cstheme="minorHAnsi"/>
          <w:lang w:eastAsia="fr-FR"/>
        </w:rPr>
        <w:t>de</w:t>
      </w:r>
      <w:r>
        <w:rPr>
          <w:rFonts w:eastAsia="Times New Roman" w:cstheme="minorHAnsi"/>
          <w:b/>
          <w:bCs/>
          <w:lang w:eastAsia="fr-FR"/>
        </w:rPr>
        <w:t> </w:t>
      </w:r>
      <w:r>
        <w:rPr>
          <w:rFonts w:eastAsia="Times New Roman" w:cstheme="minorHAnsi"/>
          <w:lang w:eastAsia="fr-FR"/>
        </w:rPr>
        <w:t xml:space="preserve">Cotisation de vie étudiante et de campus (CVEC) pour les établissements sous tutelle du Ministère de l’Agriculture, de la Souveraineté alimentaire et de la Forêt (AgroParisTech, Bordeaux Sciences Agro, ENGEES, Institut Agro, ONIRIS et </w:t>
      </w:r>
      <w:proofErr w:type="spellStart"/>
      <w:r>
        <w:rPr>
          <w:rFonts w:eastAsia="Times New Roman" w:cstheme="minorHAnsi"/>
          <w:lang w:eastAsia="fr-FR"/>
        </w:rPr>
        <w:t>VetAgro</w:t>
      </w:r>
      <w:proofErr w:type="spellEnd"/>
      <w:r>
        <w:rPr>
          <w:rFonts w:eastAsia="Times New Roman" w:cstheme="minorHAnsi"/>
          <w:lang w:eastAsia="fr-FR"/>
        </w:rPr>
        <w:t xml:space="preserve"> Sup)</w:t>
      </w:r>
    </w:p>
    <w:p w14:paraId="5F13EB78" w14:textId="77777777" w:rsidR="00954261" w:rsidRDefault="00A50F87">
      <w:pPr>
        <w:pStyle w:val="Paragraphedeliste"/>
        <w:numPr>
          <w:ilvl w:val="0"/>
          <w:numId w:val="3"/>
        </w:numPr>
        <w:spacing w:after="100" w:line="276" w:lineRule="auto"/>
        <w:ind w:left="714" w:hanging="357"/>
        <w:contextualSpacing w:val="0"/>
        <w:jc w:val="both"/>
        <w:rPr>
          <w:rFonts w:eastAsia="Times New Roman" w:cstheme="minorHAnsi"/>
          <w:lang w:eastAsia="fr-FR"/>
        </w:rPr>
      </w:pPr>
      <w:r>
        <w:rPr>
          <w:rFonts w:eastAsia="Times New Roman" w:cstheme="minorHAnsi"/>
          <w:b/>
          <w:bCs/>
          <w:lang w:eastAsia="fr-FR"/>
        </w:rPr>
        <w:lastRenderedPageBreak/>
        <w:t>600 à 700 € + 103 €</w:t>
      </w:r>
      <w:r>
        <w:rPr>
          <w:rFonts w:eastAsia="Times New Roman" w:cstheme="minorHAnsi"/>
          <w:lang w:eastAsia="fr-FR"/>
        </w:rPr>
        <w:t xml:space="preserve"> de CVEC pour </w:t>
      </w:r>
      <w:proofErr w:type="spellStart"/>
      <w:r>
        <w:rPr>
          <w:rFonts w:eastAsia="Times New Roman" w:cstheme="minorHAnsi"/>
          <w:lang w:eastAsia="fr-FR"/>
        </w:rPr>
        <w:t>AgroToulouse</w:t>
      </w:r>
      <w:proofErr w:type="spellEnd"/>
      <w:r>
        <w:rPr>
          <w:rFonts w:eastAsia="Times New Roman" w:cstheme="minorHAnsi"/>
          <w:lang w:eastAsia="fr-FR"/>
        </w:rPr>
        <w:t>-ENSAT.</w:t>
      </w:r>
    </w:p>
    <w:p w14:paraId="1A3D36D5" w14:textId="77777777" w:rsidR="00954261" w:rsidRDefault="00A50F87">
      <w:pPr>
        <w:pStyle w:val="Paragraphedeliste"/>
        <w:numPr>
          <w:ilvl w:val="0"/>
          <w:numId w:val="6"/>
        </w:numPr>
        <w:spacing w:after="100" w:line="276" w:lineRule="auto"/>
        <w:jc w:val="both"/>
        <w:rPr>
          <w:rFonts w:eastAsia="Times New Roman" w:cstheme="minorHAnsi"/>
          <w:lang w:eastAsia="fr-FR"/>
        </w:rPr>
      </w:pPr>
      <w:r>
        <w:rPr>
          <w:rFonts w:eastAsia="Times New Roman" w:cstheme="minorHAnsi"/>
          <w:b/>
          <w:bCs/>
          <w:lang w:eastAsia="fr-FR"/>
        </w:rPr>
        <w:t>3879 € + 103 €</w:t>
      </w:r>
      <w:r>
        <w:rPr>
          <w:rFonts w:eastAsia="Times New Roman" w:cstheme="minorHAnsi"/>
          <w:lang w:eastAsia="fr-FR"/>
        </w:rPr>
        <w:t xml:space="preserve"> de CVEC pour les établissements relevant de l’Université de Lorraine (ENSAIA et ENSTIB).</w:t>
      </w:r>
    </w:p>
    <w:p w14:paraId="396D53DC" w14:textId="77777777" w:rsidR="00954261" w:rsidRDefault="00A50F87">
      <w:pPr>
        <w:widowControl w:val="0"/>
        <w:spacing w:after="0" w:line="276" w:lineRule="auto"/>
        <w:jc w:val="both"/>
        <w:rPr>
          <w:rFonts w:eastAsia="Times New Roman" w:cstheme="minorHAnsi"/>
          <w:b/>
          <w:color w:val="9A901C"/>
          <w:u w:val="single"/>
          <w:lang w:eastAsia="fr-FR"/>
        </w:rPr>
      </w:pPr>
      <w:r>
        <w:rPr>
          <w:rFonts w:eastAsia="Times New Roman" w:cstheme="minorHAnsi"/>
          <w:b/>
          <w:color w:val="9A901C"/>
          <w:u w:val="single"/>
          <w:lang w:eastAsia="fr-FR"/>
        </w:rPr>
        <w:t>Ces montants sont susceptibles d’évoluer à la rentrée 2025. </w:t>
      </w:r>
    </w:p>
    <w:p w14:paraId="3236E787" w14:textId="77777777" w:rsidR="00954261" w:rsidRDefault="00954261">
      <w:pPr>
        <w:widowControl w:val="0"/>
        <w:spacing w:after="0" w:line="276" w:lineRule="auto"/>
        <w:jc w:val="both"/>
        <w:rPr>
          <w:rFonts w:eastAsia="Times New Roman" w:cstheme="minorHAnsi"/>
          <w:b/>
          <w:color w:val="9A901C"/>
          <w:u w:val="single"/>
          <w:lang w:eastAsia="fr-FR"/>
        </w:rPr>
      </w:pPr>
    </w:p>
    <w:p w14:paraId="7F5D0041" w14:textId="77777777" w:rsidR="00954261" w:rsidRDefault="00A50F87">
      <w:pPr>
        <w:pStyle w:val="Titre2"/>
        <w:spacing w:after="0"/>
      </w:pPr>
      <w:bookmarkStart w:id="29" w:name="_Toc178348980"/>
      <w:r>
        <w:t>BOURSES ERASMUS+</w:t>
      </w:r>
      <w:bookmarkEnd w:id="29"/>
    </w:p>
    <w:p w14:paraId="2DDFB221" w14:textId="77777777" w:rsidR="00954261" w:rsidRDefault="00A50F87">
      <w:pPr>
        <w:widowControl w:val="0"/>
        <w:spacing w:after="0" w:line="276" w:lineRule="auto"/>
        <w:jc w:val="both"/>
        <w:rPr>
          <w:rFonts w:eastAsia="Times New Roman" w:cstheme="minorHAnsi"/>
          <w:lang w:eastAsia="fr-FR"/>
        </w:rPr>
      </w:pPr>
      <w:r>
        <w:rPr>
          <w:rFonts w:eastAsia="Times New Roman" w:cstheme="minorHAnsi"/>
          <w:lang w:eastAsia="fr-FR"/>
        </w:rPr>
        <w:t xml:space="preserve">Certains accords de partenariat établis entre établissements sénégalais et français (double-diplôme ou autre) permettent aux étudiants admis dans ce cadre de bénéficier d’une bourse Erasmus+, sur une durée de 12 mois. </w:t>
      </w:r>
    </w:p>
    <w:p w14:paraId="79C160D8" w14:textId="77777777" w:rsidR="00954261" w:rsidRDefault="00954261">
      <w:pPr>
        <w:widowControl w:val="0"/>
        <w:spacing w:after="0" w:line="276" w:lineRule="auto"/>
        <w:jc w:val="both"/>
        <w:rPr>
          <w:rFonts w:cstheme="minorHAnsi"/>
        </w:rPr>
      </w:pPr>
    </w:p>
    <w:p w14:paraId="0AAD3BE7" w14:textId="77777777" w:rsidR="00954261" w:rsidRDefault="00A50F87">
      <w:pPr>
        <w:widowControl w:val="0"/>
        <w:spacing w:after="0" w:line="276" w:lineRule="auto"/>
        <w:jc w:val="both"/>
        <w:rPr>
          <w:rFonts w:eastAsia="Times New Roman" w:cstheme="minorHAnsi"/>
          <w:u w:val="single"/>
        </w:rPr>
      </w:pPr>
      <w:r>
        <w:rPr>
          <w:rFonts w:eastAsia="Times New Roman" w:cstheme="minorHAnsi"/>
          <w:u w:val="single"/>
          <w:lang w:eastAsia="fr-FR"/>
        </w:rPr>
        <w:t>Liste des établissements du programme AgreenMob pour lesquels des accords de partenariat existent :</w:t>
      </w:r>
    </w:p>
    <w:p w14:paraId="32DFC318" w14:textId="77777777" w:rsidR="00954261" w:rsidRDefault="00A50F87">
      <w:pPr>
        <w:pStyle w:val="Paragraphedeliste"/>
        <w:widowControl w:val="0"/>
        <w:numPr>
          <w:ilvl w:val="0"/>
          <w:numId w:val="7"/>
        </w:numPr>
        <w:spacing w:after="0" w:line="276" w:lineRule="auto"/>
        <w:jc w:val="both"/>
        <w:rPr>
          <w:rFonts w:cstheme="minorHAnsi"/>
        </w:rPr>
      </w:pPr>
      <w:r>
        <w:rPr>
          <w:rFonts w:eastAsia="Times New Roman" w:cstheme="minorHAnsi"/>
          <w:lang w:eastAsia="fr-FR"/>
        </w:rPr>
        <w:t>Ecole Polytechnique de Thiès et l’ENGEES (Université de Strasbourg)</w:t>
      </w:r>
    </w:p>
    <w:p w14:paraId="4D4C2FB5" w14:textId="77777777" w:rsidR="00954261" w:rsidRDefault="00A50F87">
      <w:pPr>
        <w:pStyle w:val="Paragraphedeliste"/>
        <w:widowControl w:val="0"/>
        <w:numPr>
          <w:ilvl w:val="0"/>
          <w:numId w:val="10"/>
        </w:numPr>
        <w:spacing w:after="0" w:line="276" w:lineRule="auto"/>
        <w:jc w:val="both"/>
        <w:rPr>
          <w:rFonts w:eastAsia="Times New Roman" w:cstheme="minorHAnsi"/>
          <w:lang w:eastAsia="fr-FR"/>
        </w:rPr>
      </w:pPr>
      <w:r>
        <w:rPr>
          <w:rFonts w:eastAsia="Times New Roman" w:cstheme="minorHAnsi"/>
          <w:lang w:eastAsia="fr-FR"/>
        </w:rPr>
        <w:t>Ecole Supérieure Polytechnique (Université Cheikh Anta Diop) et l’Institut Agro</w:t>
      </w:r>
    </w:p>
    <w:p w14:paraId="7ECF113C" w14:textId="77777777" w:rsidR="00954261" w:rsidRDefault="00A50F87">
      <w:pPr>
        <w:pStyle w:val="Paragraphedeliste"/>
        <w:widowControl w:val="0"/>
        <w:numPr>
          <w:ilvl w:val="0"/>
          <w:numId w:val="10"/>
        </w:numPr>
        <w:spacing w:after="0" w:line="276" w:lineRule="auto"/>
        <w:jc w:val="both"/>
        <w:rPr>
          <w:rFonts w:eastAsia="Times New Roman" w:cstheme="minorHAnsi"/>
          <w:lang w:eastAsia="fr-FR"/>
        </w:rPr>
      </w:pPr>
      <w:r>
        <w:rPr>
          <w:rFonts w:eastAsia="Times New Roman" w:cstheme="minorHAnsi"/>
          <w:lang w:eastAsia="fr-FR"/>
        </w:rPr>
        <w:t>Université Gaston Berger de Saint Louis et l’Institut Agro</w:t>
      </w:r>
    </w:p>
    <w:p w14:paraId="68D52CDF" w14:textId="77777777" w:rsidR="00954261" w:rsidRDefault="00A50F87">
      <w:pPr>
        <w:pStyle w:val="Paragraphedeliste"/>
        <w:widowControl w:val="0"/>
        <w:numPr>
          <w:ilvl w:val="0"/>
          <w:numId w:val="10"/>
        </w:numPr>
        <w:spacing w:after="0" w:line="276" w:lineRule="auto"/>
        <w:jc w:val="both"/>
        <w:rPr>
          <w:rFonts w:eastAsia="Times New Roman" w:cstheme="minorHAnsi"/>
          <w:lang w:eastAsia="fr-FR"/>
        </w:rPr>
      </w:pPr>
      <w:r>
        <w:rPr>
          <w:rFonts w:eastAsia="Times New Roman" w:cstheme="minorHAnsi"/>
          <w:lang w:eastAsia="fr-FR"/>
        </w:rPr>
        <w:t>Université Gaston Berger de Saint-Louis et l’</w:t>
      </w:r>
      <w:proofErr w:type="spellStart"/>
      <w:r>
        <w:rPr>
          <w:rFonts w:eastAsia="Times New Roman" w:cstheme="minorHAnsi"/>
          <w:lang w:eastAsia="fr-FR"/>
        </w:rPr>
        <w:t>AgroToulouse</w:t>
      </w:r>
      <w:proofErr w:type="spellEnd"/>
      <w:r>
        <w:rPr>
          <w:rFonts w:eastAsia="Times New Roman" w:cstheme="minorHAnsi"/>
          <w:lang w:eastAsia="fr-FR"/>
        </w:rPr>
        <w:t xml:space="preserve"> (INP-ENSAT)</w:t>
      </w:r>
    </w:p>
    <w:p w14:paraId="55274D70" w14:textId="77777777" w:rsidR="00954261" w:rsidRDefault="00A50F87">
      <w:pPr>
        <w:pStyle w:val="Paragraphedeliste"/>
        <w:widowControl w:val="0"/>
        <w:numPr>
          <w:ilvl w:val="0"/>
          <w:numId w:val="10"/>
        </w:numPr>
        <w:spacing w:after="0" w:line="276" w:lineRule="auto"/>
        <w:jc w:val="both"/>
        <w:rPr>
          <w:rFonts w:eastAsia="Times New Roman" w:cstheme="minorHAnsi"/>
          <w:lang w:eastAsia="fr-FR"/>
        </w:rPr>
      </w:pPr>
      <w:r>
        <w:rPr>
          <w:rFonts w:eastAsia="Times New Roman" w:cstheme="minorHAnsi"/>
          <w:lang w:eastAsia="fr-FR"/>
        </w:rPr>
        <w:t>Université Assane Seck de Ziguinchor et l’</w:t>
      </w:r>
      <w:proofErr w:type="spellStart"/>
      <w:r>
        <w:rPr>
          <w:rFonts w:eastAsia="Times New Roman" w:cstheme="minorHAnsi"/>
          <w:lang w:eastAsia="fr-FR"/>
        </w:rPr>
        <w:t>AgroToulouse</w:t>
      </w:r>
      <w:proofErr w:type="spellEnd"/>
      <w:r>
        <w:rPr>
          <w:rFonts w:eastAsia="Times New Roman" w:cstheme="minorHAnsi"/>
          <w:lang w:eastAsia="fr-FR"/>
        </w:rPr>
        <w:t xml:space="preserve"> (INP-ENSAT)</w:t>
      </w:r>
    </w:p>
    <w:p w14:paraId="5FD2A724" w14:textId="77777777" w:rsidR="00954261" w:rsidRDefault="00954261">
      <w:pPr>
        <w:pStyle w:val="Paragraphedeliste"/>
        <w:widowControl w:val="0"/>
        <w:spacing w:after="0" w:line="276" w:lineRule="auto"/>
        <w:ind w:left="709"/>
        <w:jc w:val="both"/>
        <w:rPr>
          <w:rFonts w:eastAsia="Times New Roman" w:cstheme="minorHAnsi"/>
          <w:lang w:eastAsia="fr-FR"/>
        </w:rPr>
      </w:pPr>
    </w:p>
    <w:p w14:paraId="2F62E7AC" w14:textId="77777777" w:rsidR="00954261" w:rsidRDefault="00A50F87">
      <w:pPr>
        <w:widowControl w:val="0"/>
        <w:spacing w:after="0" w:line="276" w:lineRule="auto"/>
        <w:jc w:val="both"/>
        <w:rPr>
          <w:rFonts w:eastAsia="Times New Roman" w:cstheme="minorHAnsi"/>
          <w:lang w:eastAsia="fr-FR"/>
        </w:rPr>
      </w:pPr>
      <w:r>
        <w:rPr>
          <w:rFonts w:eastAsia="Times New Roman" w:cstheme="minorHAnsi"/>
          <w:lang w:eastAsia="fr-FR"/>
        </w:rPr>
        <w:t>Une estimation du coût de la vie en France peut être consultée sur le site de Campus France :</w:t>
      </w:r>
    </w:p>
    <w:p w14:paraId="005E71ED" w14:textId="77777777" w:rsidR="00954261" w:rsidRDefault="00315A49">
      <w:pPr>
        <w:widowControl w:val="0"/>
        <w:spacing w:after="0" w:line="276" w:lineRule="auto"/>
        <w:jc w:val="both"/>
        <w:rPr>
          <w:rFonts w:eastAsia="Times New Roman" w:cstheme="minorHAnsi"/>
          <w:color w:val="000000"/>
          <w:lang w:eastAsia="fr-FR"/>
        </w:rPr>
      </w:pPr>
      <w:hyperlink r:id="rId14" w:tooltip="https://www.campusfrance.org/fr/preparer-budget-etudiant-France" w:history="1">
        <w:r w:rsidR="00A50F87">
          <w:rPr>
            <w:rStyle w:val="Lienhypertexte"/>
            <w:rFonts w:eastAsia="Times New Roman" w:cstheme="minorHAnsi"/>
            <w:color w:val="1C9CD9"/>
            <w:lang w:eastAsia="fr-FR"/>
          </w:rPr>
          <w:t>https://www.campusfrance.org/fr/preparer-budget-etudiant-France</w:t>
        </w:r>
      </w:hyperlink>
      <w:r w:rsidR="00A50F87">
        <w:rPr>
          <w:rFonts w:eastAsia="Times New Roman" w:cstheme="minorHAnsi"/>
          <w:color w:val="000000"/>
          <w:lang w:eastAsia="fr-FR"/>
        </w:rPr>
        <w:t>.</w:t>
      </w:r>
    </w:p>
    <w:p w14:paraId="42454CAA" w14:textId="77777777" w:rsidR="00954261" w:rsidRDefault="00A50F87">
      <w:pPr>
        <w:widowControl w:val="0"/>
        <w:tabs>
          <w:tab w:val="left" w:pos="820"/>
        </w:tabs>
        <w:spacing w:after="0" w:line="276" w:lineRule="auto"/>
        <w:jc w:val="both"/>
        <w:rPr>
          <w:rFonts w:ascii="All Round Gothic Demi" w:eastAsia="Times New Roman" w:hAnsi="All Round Gothic Demi" w:cs="Times New Roman"/>
          <w:color w:val="58595B"/>
          <w:sz w:val="24"/>
          <w:szCs w:val="24"/>
          <w:lang w:eastAsia="fr-FR"/>
        </w:rPr>
      </w:pPr>
      <w:r>
        <w:rPr>
          <w:rFonts w:ascii="All Round Gothic Demi" w:eastAsia="Times New Roman" w:hAnsi="All Round Gothic Demi" w:cs="Times New Roman"/>
          <w:color w:val="58595B"/>
          <w:sz w:val="24"/>
          <w:szCs w:val="24"/>
          <w:lang w:eastAsia="fr-FR"/>
        </w:rPr>
        <w:t> </w:t>
      </w:r>
    </w:p>
    <w:p w14:paraId="779AFF1B" w14:textId="77777777" w:rsidR="00954261" w:rsidRDefault="00A50F87">
      <w:pPr>
        <w:pStyle w:val="Titre2"/>
        <w:spacing w:after="0"/>
      </w:pPr>
      <w:bookmarkStart w:id="30" w:name="_Toc178348981"/>
      <w:r>
        <w:t>DEMANDE DE VISA</w:t>
      </w:r>
      <w:bookmarkEnd w:id="30"/>
    </w:p>
    <w:p w14:paraId="1039A5DF" w14:textId="77777777" w:rsidR="00954261" w:rsidRDefault="00A50F87">
      <w:pPr>
        <w:widowControl w:val="0"/>
        <w:spacing w:after="0" w:line="276" w:lineRule="auto"/>
        <w:jc w:val="both"/>
        <w:rPr>
          <w:rFonts w:eastAsia="Times New Roman" w:cstheme="minorHAnsi"/>
          <w:lang w:eastAsia="fr-FR"/>
        </w:rPr>
      </w:pPr>
      <w:r>
        <w:rPr>
          <w:rFonts w:eastAsia="Times New Roman" w:cstheme="minorHAnsi"/>
          <w:lang w:eastAsia="fr-FR"/>
        </w:rPr>
        <w:t>Pour rappel, le passage par Campus France est obligatoire pour toute demande de visa étudiant, concours et stages d’études de plus de 6 mois. Les étudiants trouveront les informations actualisées sur le site :</w:t>
      </w:r>
    </w:p>
    <w:p w14:paraId="0E9D279E" w14:textId="77777777" w:rsidR="00954261" w:rsidRDefault="00315A49">
      <w:pPr>
        <w:widowControl w:val="0"/>
        <w:spacing w:after="0" w:line="276" w:lineRule="auto"/>
        <w:jc w:val="both"/>
        <w:rPr>
          <w:rFonts w:eastAsia="Times New Roman" w:cstheme="minorHAnsi"/>
          <w:lang w:eastAsia="fr-FR"/>
        </w:rPr>
      </w:pPr>
      <w:hyperlink r:id="rId15" w:tooltip="https://www.senegal.campusfrance.org" w:history="1">
        <w:r w:rsidR="00A50F87">
          <w:rPr>
            <w:rFonts w:eastAsia="Times New Roman" w:cstheme="minorHAnsi"/>
            <w:color w:val="1C9CD9"/>
            <w:u w:val="single"/>
            <w:lang w:eastAsia="fr-FR"/>
          </w:rPr>
          <w:t>https://www.senegal.campusfrance.org</w:t>
        </w:r>
      </w:hyperlink>
      <w:r w:rsidR="00A50F87">
        <w:rPr>
          <w:rFonts w:eastAsia="Times New Roman" w:cstheme="minorHAnsi"/>
          <w:color w:val="000000"/>
          <w:lang w:eastAsia="fr-FR"/>
        </w:rPr>
        <w:t>.</w:t>
      </w:r>
    </w:p>
    <w:p w14:paraId="3E059671" w14:textId="77777777" w:rsidR="00954261" w:rsidRDefault="00954261">
      <w:pPr>
        <w:widowControl w:val="0"/>
        <w:spacing w:after="0" w:line="276" w:lineRule="auto"/>
        <w:jc w:val="both"/>
        <w:rPr>
          <w:rFonts w:eastAsia="Times New Roman" w:cstheme="minorHAnsi"/>
          <w:lang w:eastAsia="fr-FR"/>
        </w:rPr>
      </w:pPr>
    </w:p>
    <w:p w14:paraId="77692FCF" w14:textId="77777777" w:rsidR="00954261" w:rsidRDefault="00A50F87">
      <w:pPr>
        <w:spacing w:line="276" w:lineRule="auto"/>
        <w:jc w:val="both"/>
        <w:rPr>
          <w:rFonts w:eastAsia="Times New Roman" w:cstheme="minorHAnsi"/>
          <w:lang w:eastAsia="fr-FR"/>
        </w:rPr>
      </w:pPr>
      <w:r>
        <w:rPr>
          <w:rFonts w:eastAsia="Times New Roman" w:cstheme="minorHAnsi"/>
          <w:lang w:eastAsia="fr-FR"/>
        </w:rPr>
        <w:t>Les étudiants issus de la procédure de sélection AgreenMob bénéficieront d’une</w:t>
      </w:r>
      <w:r>
        <w:rPr>
          <w:rFonts w:ascii="All Round Gothic Demi" w:eastAsia="Times New Roman" w:hAnsi="All Round Gothic Demi" w:cs="Times New Roman"/>
          <w:lang w:eastAsia="fr-FR"/>
        </w:rPr>
        <w:t xml:space="preserve"> </w:t>
      </w:r>
      <w:r>
        <w:rPr>
          <w:rFonts w:eastAsia="Times New Roman" w:cstheme="minorHAnsi"/>
          <w:lang w:eastAsia="fr-FR"/>
        </w:rPr>
        <w:t>procédure allégée pour leurs formalités de demande de visa. Ils seront notamment exemptés de l’entretien pédagogique à Campus France. Une fiche de procédure sera remise à chaque candidat retenu.</w:t>
      </w:r>
    </w:p>
    <w:p w14:paraId="195C1256" w14:textId="77777777" w:rsidR="00954261" w:rsidRDefault="00A50F87">
      <w:pPr>
        <w:spacing w:line="276" w:lineRule="auto"/>
        <w:jc w:val="both"/>
        <w:rPr>
          <w:rFonts w:eastAsia="Times New Roman" w:cstheme="minorHAnsi"/>
          <w:lang w:eastAsia="fr-FR"/>
        </w:rPr>
      </w:pPr>
      <w:r>
        <w:rPr>
          <w:rFonts w:eastAsia="Times New Roman" w:cstheme="minorHAnsi"/>
          <w:lang w:eastAsia="fr-FR"/>
        </w:rPr>
        <w:t>La cellule de coordination de l’Alliance Agreenium transmettra à Campus France la liste des candidats retenus.</w:t>
      </w:r>
    </w:p>
    <w:p w14:paraId="7C3823B6" w14:textId="77777777" w:rsidR="00954261" w:rsidRDefault="00A50F87">
      <w:pPr>
        <w:spacing w:after="0" w:line="276" w:lineRule="auto"/>
        <w:jc w:val="both"/>
        <w:rPr>
          <w:rFonts w:eastAsia="Times New Roman" w:cstheme="minorHAnsi"/>
          <w:lang w:eastAsia="fr-FR"/>
        </w:rPr>
      </w:pPr>
      <w:r>
        <w:rPr>
          <w:rFonts w:eastAsia="Times New Roman" w:cstheme="minorHAnsi"/>
          <w:lang w:eastAsia="fr-FR"/>
        </w:rPr>
        <w:t>Les candidats devront :</w:t>
      </w:r>
    </w:p>
    <w:p w14:paraId="10BEFF59" w14:textId="77777777" w:rsidR="00954261" w:rsidRDefault="00A50F87">
      <w:pPr>
        <w:widowControl w:val="0"/>
        <w:numPr>
          <w:ilvl w:val="0"/>
          <w:numId w:val="3"/>
        </w:numPr>
        <w:tabs>
          <w:tab w:val="clear" w:pos="720"/>
        </w:tabs>
        <w:spacing w:after="0" w:line="276" w:lineRule="auto"/>
        <w:ind w:left="709"/>
        <w:rPr>
          <w:rFonts w:eastAsia="Times New Roman" w:cstheme="minorHAnsi"/>
          <w:lang w:eastAsia="fr-FR"/>
        </w:rPr>
      </w:pPr>
      <w:r>
        <w:rPr>
          <w:rFonts w:eastAsia="Times New Roman" w:cstheme="minorHAnsi"/>
          <w:lang w:eastAsia="fr-FR"/>
        </w:rPr>
        <w:t xml:space="preserve">Créer un compte sur l’application </w:t>
      </w:r>
      <w:r>
        <w:rPr>
          <w:rFonts w:eastAsia="Times New Roman" w:cstheme="minorHAnsi"/>
          <w:i/>
          <w:lang w:eastAsia="fr-FR"/>
        </w:rPr>
        <w:t>Etudes en France</w:t>
      </w:r>
      <w:r>
        <w:rPr>
          <w:rFonts w:ascii="All Round Gothic Demi" w:eastAsia="Times New Roman" w:hAnsi="All Round Gothic Demi" w:cs="Times New Roman"/>
          <w:lang w:eastAsia="fr-FR"/>
        </w:rPr>
        <w:t xml:space="preserve"> </w:t>
      </w:r>
      <w:hyperlink r:id="rId16" w:tooltip="https://www.campusfrance.org/fr/procedure-etudes-en-France" w:history="1">
        <w:r>
          <w:rPr>
            <w:rFonts w:eastAsia="Times New Roman" w:cstheme="minorHAnsi"/>
            <w:color w:val="1C9CD9"/>
            <w:u w:val="single"/>
            <w:lang w:eastAsia="fr-FR"/>
          </w:rPr>
          <w:t>https://www.campusfrance.org/fr/procedure-etudes-en-France</w:t>
        </w:r>
      </w:hyperlink>
      <w:r>
        <w:rPr>
          <w:rFonts w:eastAsia="Times New Roman" w:cstheme="minorHAnsi"/>
          <w:lang w:eastAsia="fr-FR"/>
        </w:rPr>
        <w:t xml:space="preserve"> ;</w:t>
      </w:r>
    </w:p>
    <w:p w14:paraId="0A56A11F" w14:textId="77777777" w:rsidR="00954261" w:rsidRDefault="00A50F87">
      <w:pPr>
        <w:widowControl w:val="0"/>
        <w:numPr>
          <w:ilvl w:val="0"/>
          <w:numId w:val="3"/>
        </w:numPr>
        <w:tabs>
          <w:tab w:val="clear" w:pos="720"/>
        </w:tabs>
        <w:spacing w:after="0" w:line="276" w:lineRule="auto"/>
        <w:ind w:left="709"/>
        <w:rPr>
          <w:rFonts w:eastAsia="Times New Roman" w:cstheme="minorHAnsi"/>
          <w:lang w:eastAsia="fr-FR"/>
        </w:rPr>
      </w:pPr>
      <w:r>
        <w:rPr>
          <w:rFonts w:eastAsia="Times New Roman" w:cstheme="minorHAnsi"/>
          <w:lang w:eastAsia="fr-FR"/>
        </w:rPr>
        <w:t>Remplir le formulaire électronique Etudes en France et joindre l’attestation d’admission d’AgreenMob ;</w:t>
      </w:r>
    </w:p>
    <w:p w14:paraId="386FE70C" w14:textId="77777777" w:rsidR="00954261" w:rsidRDefault="00A50F87">
      <w:pPr>
        <w:widowControl w:val="0"/>
        <w:numPr>
          <w:ilvl w:val="0"/>
          <w:numId w:val="3"/>
        </w:numPr>
        <w:tabs>
          <w:tab w:val="clear" w:pos="720"/>
        </w:tabs>
        <w:spacing w:after="0" w:line="276" w:lineRule="auto"/>
        <w:ind w:left="709"/>
        <w:rPr>
          <w:rFonts w:eastAsia="Times New Roman" w:cstheme="minorHAnsi"/>
          <w:lang w:eastAsia="fr-FR"/>
        </w:rPr>
      </w:pPr>
      <w:r>
        <w:rPr>
          <w:rFonts w:eastAsia="Times New Roman" w:cstheme="minorHAnsi"/>
          <w:lang w:eastAsia="fr-FR"/>
        </w:rPr>
        <w:t>Sélectionner le statut particulier AgreenMob (enregistré dans l’application)</w:t>
      </w:r>
    </w:p>
    <w:p w14:paraId="37FF8775" w14:textId="77777777" w:rsidR="00954261" w:rsidRDefault="00A50F87">
      <w:pPr>
        <w:widowControl w:val="0"/>
        <w:numPr>
          <w:ilvl w:val="0"/>
          <w:numId w:val="3"/>
        </w:numPr>
        <w:tabs>
          <w:tab w:val="clear" w:pos="720"/>
        </w:tabs>
        <w:spacing w:after="0" w:line="276" w:lineRule="auto"/>
        <w:ind w:left="709"/>
        <w:rPr>
          <w:rFonts w:eastAsia="Times New Roman" w:cstheme="minorHAnsi"/>
          <w:lang w:eastAsia="fr-FR"/>
        </w:rPr>
      </w:pPr>
      <w:r>
        <w:rPr>
          <w:rFonts w:eastAsia="Times New Roman" w:cstheme="minorHAnsi"/>
          <w:lang w:eastAsia="fr-FR"/>
        </w:rPr>
        <w:t>S’acquitter des frais de dossier Campus France (35 000 Fcfa). Les instructions leur seront envoyées via leur Espace personnel ;</w:t>
      </w:r>
    </w:p>
    <w:p w14:paraId="60FC7403" w14:textId="77777777" w:rsidR="00954261" w:rsidRDefault="00A50F87">
      <w:pPr>
        <w:widowControl w:val="0"/>
        <w:numPr>
          <w:ilvl w:val="0"/>
          <w:numId w:val="3"/>
        </w:numPr>
        <w:tabs>
          <w:tab w:val="clear" w:pos="720"/>
        </w:tabs>
        <w:spacing w:after="0" w:line="276" w:lineRule="auto"/>
        <w:ind w:left="709"/>
        <w:rPr>
          <w:rFonts w:eastAsia="Times New Roman" w:cstheme="minorHAnsi"/>
          <w:lang w:eastAsia="fr-FR"/>
        </w:rPr>
      </w:pPr>
      <w:r>
        <w:rPr>
          <w:rFonts w:eastAsia="Times New Roman" w:cstheme="minorHAnsi"/>
          <w:lang w:eastAsia="fr-FR"/>
        </w:rPr>
        <w:t>Après validation électronique du dossier par Campus France, s’inscrire sur le site France Visas et prendre rendez-vous auprès de VFS pour effectuer la demande de visa. Les instructions leur seront envoyées via leur Espace personnel.</w:t>
      </w:r>
    </w:p>
    <w:tbl>
      <w:tblPr>
        <w:tblStyle w:val="Grilledutableau"/>
        <w:tblpPr w:leftFromText="141" w:rightFromText="141" w:vertAnchor="text" w:tblpY="340"/>
        <w:tblW w:w="9694" w:type="dxa"/>
        <w:tblLook w:val="04A0" w:firstRow="1" w:lastRow="0" w:firstColumn="1" w:lastColumn="0" w:noHBand="0" w:noVBand="1"/>
      </w:tblPr>
      <w:tblGrid>
        <w:gridCol w:w="2405"/>
        <w:gridCol w:w="7289"/>
      </w:tblGrid>
      <w:tr w:rsidR="00954261" w14:paraId="5598005D" w14:textId="77777777">
        <w:trPr>
          <w:trHeight w:val="235"/>
        </w:trPr>
        <w:tc>
          <w:tcPr>
            <w:tcW w:w="2405" w:type="dxa"/>
            <w:shd w:val="clear" w:color="auto" w:fill="E7E6E6" w:themeFill="background2"/>
            <w:vAlign w:val="center"/>
          </w:tcPr>
          <w:p w14:paraId="4FFB6F21" w14:textId="77777777" w:rsidR="00954261" w:rsidRDefault="00A50F87">
            <w:pPr>
              <w:spacing w:line="276" w:lineRule="auto"/>
              <w:rPr>
                <w:rFonts w:eastAsia="Times New Roman" w:cstheme="minorHAnsi"/>
                <w:b/>
                <w:szCs w:val="24"/>
                <w:lang w:eastAsia="fr-FR"/>
              </w:rPr>
            </w:pPr>
            <w:r>
              <w:rPr>
                <w:rFonts w:eastAsia="Times New Roman" w:cstheme="minorHAnsi"/>
                <w:b/>
                <w:szCs w:val="24"/>
                <w:lang w:eastAsia="fr-FR"/>
              </w:rPr>
              <w:lastRenderedPageBreak/>
              <w:t>Soumission du dossier et frais d’adhésion au service Campus France</w:t>
            </w:r>
          </w:p>
        </w:tc>
        <w:tc>
          <w:tcPr>
            <w:tcW w:w="7289" w:type="dxa"/>
            <w:shd w:val="clear" w:color="auto" w:fill="auto"/>
          </w:tcPr>
          <w:p w14:paraId="7BE32F3C" w14:textId="77777777" w:rsidR="00954261" w:rsidRDefault="00A50F87">
            <w:pPr>
              <w:spacing w:line="276" w:lineRule="auto"/>
              <w:rPr>
                <w:rFonts w:eastAsia="Times New Roman" w:cstheme="minorHAnsi"/>
                <w:b/>
                <w:szCs w:val="24"/>
                <w:lang w:eastAsia="fr-FR"/>
              </w:rPr>
            </w:pPr>
            <w:r>
              <w:rPr>
                <w:rFonts w:eastAsia="Times New Roman" w:cstheme="minorHAnsi"/>
                <w:szCs w:val="24"/>
                <w:lang w:eastAsia="fr-FR"/>
              </w:rPr>
              <w:t xml:space="preserve">Dès réception de l’acceptation par un établissement français et au moins </w:t>
            </w:r>
            <w:r>
              <w:rPr>
                <w:rFonts w:eastAsia="Times New Roman" w:cstheme="minorHAnsi"/>
                <w:b/>
                <w:szCs w:val="24"/>
                <w:lang w:eastAsia="fr-FR"/>
              </w:rPr>
              <w:t>2 mois avant</w:t>
            </w:r>
            <w:r>
              <w:rPr>
                <w:rFonts w:eastAsia="Times New Roman" w:cstheme="minorHAnsi"/>
                <w:szCs w:val="24"/>
                <w:lang w:eastAsia="fr-FR"/>
              </w:rPr>
              <w:t xml:space="preserve"> le début des cours</w:t>
            </w:r>
          </w:p>
        </w:tc>
      </w:tr>
      <w:tr w:rsidR="00954261" w14:paraId="1422BBFD" w14:textId="77777777">
        <w:trPr>
          <w:trHeight w:val="792"/>
        </w:trPr>
        <w:tc>
          <w:tcPr>
            <w:tcW w:w="2405" w:type="dxa"/>
            <w:shd w:val="clear" w:color="auto" w:fill="E7E6E6" w:themeFill="background2"/>
            <w:vAlign w:val="center"/>
          </w:tcPr>
          <w:p w14:paraId="4352DB75" w14:textId="77777777" w:rsidR="00954261" w:rsidRDefault="00A50F87">
            <w:pPr>
              <w:spacing w:line="276" w:lineRule="auto"/>
              <w:rPr>
                <w:rFonts w:eastAsia="Times New Roman" w:cstheme="minorHAnsi"/>
                <w:b/>
                <w:szCs w:val="24"/>
                <w:lang w:eastAsia="fr-FR"/>
              </w:rPr>
            </w:pPr>
            <w:r>
              <w:rPr>
                <w:rFonts w:eastAsia="Times New Roman" w:cstheme="minorHAnsi"/>
                <w:b/>
                <w:szCs w:val="24"/>
                <w:lang w:eastAsia="fr-FR"/>
              </w:rPr>
              <w:t>Demande de VISA</w:t>
            </w:r>
          </w:p>
        </w:tc>
        <w:tc>
          <w:tcPr>
            <w:tcW w:w="7289" w:type="dxa"/>
          </w:tcPr>
          <w:p w14:paraId="5CB9F204" w14:textId="77777777" w:rsidR="00954261" w:rsidRDefault="00A50F87">
            <w:pPr>
              <w:spacing w:line="276" w:lineRule="auto"/>
              <w:rPr>
                <w:rFonts w:eastAsia="Times New Roman" w:cstheme="minorHAnsi"/>
                <w:szCs w:val="24"/>
                <w:lang w:eastAsia="fr-FR"/>
              </w:rPr>
            </w:pPr>
            <w:r>
              <w:rPr>
                <w:rFonts w:eastAsia="Times New Roman" w:cstheme="minorHAnsi"/>
                <w:b/>
                <w:szCs w:val="24"/>
                <w:lang w:eastAsia="fr-FR"/>
              </w:rPr>
              <w:t>1 mois au moins avant</w:t>
            </w:r>
            <w:r>
              <w:rPr>
                <w:rFonts w:eastAsia="Times New Roman" w:cstheme="minorHAnsi"/>
                <w:szCs w:val="24"/>
                <w:lang w:eastAsia="fr-FR"/>
              </w:rPr>
              <w:t xml:space="preserve"> le début des cours, à faire auprès du service des visas</w:t>
            </w:r>
          </w:p>
          <w:p w14:paraId="64866D7A" w14:textId="77777777" w:rsidR="00954261" w:rsidRDefault="00A50F87">
            <w:pPr>
              <w:spacing w:line="276" w:lineRule="auto"/>
              <w:rPr>
                <w:rFonts w:eastAsia="Times New Roman" w:cstheme="minorHAnsi"/>
                <w:szCs w:val="24"/>
                <w:lang w:eastAsia="fr-FR"/>
              </w:rPr>
            </w:pPr>
            <w:r>
              <w:rPr>
                <w:rFonts w:eastAsia="Times New Roman" w:cstheme="minorHAnsi"/>
                <w:b/>
                <w:bCs/>
                <w:szCs w:val="24"/>
                <w:lang w:eastAsia="fr-FR"/>
              </w:rPr>
              <w:t xml:space="preserve">Recommandation : </w:t>
            </w:r>
            <w:r>
              <w:rPr>
                <w:rFonts w:eastAsia="Times New Roman" w:cstheme="minorHAnsi"/>
                <w:b/>
                <w:bCs/>
                <w:szCs w:val="24"/>
                <w:u w:val="single"/>
                <w:lang w:eastAsia="fr-FR"/>
              </w:rPr>
              <w:t>le plus tôt possible</w:t>
            </w:r>
            <w:r>
              <w:rPr>
                <w:rFonts w:eastAsia="Times New Roman" w:cstheme="minorHAnsi"/>
                <w:b/>
                <w:bCs/>
                <w:szCs w:val="24"/>
                <w:lang w:eastAsia="fr-FR"/>
              </w:rPr>
              <w:t xml:space="preserve"> (avant fin juillet)</w:t>
            </w:r>
          </w:p>
        </w:tc>
      </w:tr>
    </w:tbl>
    <w:p w14:paraId="13928426" w14:textId="77777777" w:rsidR="00954261" w:rsidRDefault="00A50F87">
      <w:pPr>
        <w:spacing w:line="276" w:lineRule="auto"/>
        <w:rPr>
          <w:rFonts w:eastAsia="Times New Roman" w:cstheme="minorHAnsi"/>
          <w:szCs w:val="24"/>
          <w:lang w:eastAsia="fr-FR"/>
        </w:rPr>
      </w:pPr>
      <w:r>
        <w:rPr>
          <w:rFonts w:eastAsia="Times New Roman" w:cstheme="minorHAnsi"/>
          <w:szCs w:val="24"/>
          <w:lang w:eastAsia="fr-FR"/>
        </w:rPr>
        <w:t xml:space="preserve">Concernant le calendrier, les exigences sont les suivantes : </w:t>
      </w:r>
    </w:p>
    <w:p w14:paraId="76E451DC" w14:textId="77777777" w:rsidR="00954261" w:rsidRDefault="00954261">
      <w:pPr>
        <w:widowControl w:val="0"/>
        <w:spacing w:after="0" w:line="276" w:lineRule="auto"/>
        <w:jc w:val="both"/>
        <w:rPr>
          <w:rFonts w:ascii="All Round Gothic Demi" w:eastAsia="Times New Roman" w:hAnsi="All Round Gothic Demi" w:cs="Times New Roman"/>
          <w:sz w:val="24"/>
          <w:szCs w:val="24"/>
          <w:lang w:eastAsia="fr-FR"/>
        </w:rPr>
      </w:pPr>
    </w:p>
    <w:sectPr w:rsidR="00954261">
      <w:headerReference w:type="default" r:id="rId17"/>
      <w:footerReference w:type="default" r:id="rId18"/>
      <w:headerReference w:type="first" r:id="rId19"/>
      <w:footerReference w:type="first" r:id="rId20"/>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1310" w14:textId="77777777" w:rsidR="00315A49" w:rsidRDefault="00315A49">
      <w:pPr>
        <w:spacing w:after="0" w:line="240" w:lineRule="auto"/>
      </w:pPr>
      <w:r>
        <w:separator/>
      </w:r>
    </w:p>
    <w:p w14:paraId="10021712" w14:textId="77777777" w:rsidR="00315A49" w:rsidRDefault="00315A49"/>
  </w:endnote>
  <w:endnote w:type="continuationSeparator" w:id="0">
    <w:p w14:paraId="7E7127BC" w14:textId="77777777" w:rsidR="00315A49" w:rsidRDefault="00315A49">
      <w:pPr>
        <w:spacing w:after="0" w:line="240" w:lineRule="auto"/>
      </w:pPr>
      <w:r>
        <w:continuationSeparator/>
      </w:r>
    </w:p>
    <w:p w14:paraId="560E4AAF" w14:textId="77777777" w:rsidR="00315A49" w:rsidRDefault="0031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 Round Gothic Demi">
    <w:panose1 w:val="020B0703020202020104"/>
    <w:charset w:val="00"/>
    <w:family w:val="swiss"/>
    <w:notTrueType/>
    <w:pitch w:val="variable"/>
    <w:sig w:usb0="00000007" w:usb1="00000001" w:usb2="00000000" w:usb3="00000000" w:csb0="00000093" w:csb1="00000000"/>
  </w:font>
  <w:font w:name="Segoe UI">
    <w:panose1 w:val="020B0502040204020203"/>
    <w:charset w:val="00"/>
    <w:family w:val="auto"/>
    <w:pitch w:val="default"/>
  </w:font>
  <w:font w:name="All Round Gothic Semi">
    <w:panose1 w:val="020B0803020202020104"/>
    <w:charset w:val="00"/>
    <w:family w:val="swiss"/>
    <w:notTrueType/>
    <w:pitch w:val="variable"/>
    <w:sig w:usb0="00000007" w:usb1="00000001" w:usb2="00000000" w:usb3="00000000" w:csb0="00000093" w:csb1="00000000"/>
  </w:font>
  <w:font w:name="All Round Gothic Book">
    <w:panose1 w:val="020B0503020202020104"/>
    <w:charset w:val="00"/>
    <w:family w:val="swiss"/>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700260"/>
      <w:docPartObj>
        <w:docPartGallery w:val="Page Numbers (Bottom of Page)"/>
        <w:docPartUnique/>
      </w:docPartObj>
    </w:sdtPr>
    <w:sdtEndPr/>
    <w:sdtContent>
      <w:p w14:paraId="1DD0C37B" w14:textId="77777777" w:rsidR="00954261" w:rsidRDefault="00A50F87">
        <w:pPr>
          <w:pStyle w:val="Pieddepage"/>
          <w:jc w:val="right"/>
        </w:pPr>
        <w:r>
          <w:fldChar w:fldCharType="begin"/>
        </w:r>
        <w:r>
          <w:instrText>PAGE   \* MERGEFORMAT</w:instrText>
        </w:r>
        <w:r>
          <w:fldChar w:fldCharType="separate"/>
        </w:r>
        <w:r>
          <w:t>2</w:t>
        </w:r>
        <w:r>
          <w:fldChar w:fldCharType="end"/>
        </w:r>
      </w:p>
    </w:sdtContent>
  </w:sdt>
  <w:p w14:paraId="6CE7F689" w14:textId="77777777" w:rsidR="00954261" w:rsidRDefault="00A50F87">
    <w:pPr>
      <w:pStyle w:val="Pieddepage"/>
      <w:spacing w:line="276" w:lineRule="auto"/>
      <w:rPr>
        <w:sz w:val="17"/>
        <w:szCs w:val="17"/>
      </w:rPr>
    </w:pPr>
    <w:r>
      <w:rPr>
        <w:noProof/>
        <w:lang w:eastAsia="fr-FR"/>
      </w:rPr>
      <mc:AlternateContent>
        <mc:Choice Requires="wpg">
          <w:drawing>
            <wp:anchor distT="0" distB="0" distL="114300" distR="114300" simplePos="0" relativeHeight="251665408" behindDoc="0" locked="0" layoutInCell="1" allowOverlap="1" wp14:anchorId="38467270" wp14:editId="01A11705">
              <wp:simplePos x="0" y="0"/>
              <wp:positionH relativeFrom="margin">
                <wp:posOffset>-66675</wp:posOffset>
              </wp:positionH>
              <wp:positionV relativeFrom="paragraph">
                <wp:posOffset>-11430</wp:posOffset>
              </wp:positionV>
              <wp:extent cx="1114425" cy="237703"/>
              <wp:effectExtent l="0" t="0" r="0" b="0"/>
              <wp:wrapSquare wrapText="bothSides"/>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eenium_logo_Pantone.png"/>
                      <pic:cNvPicPr>
                        <a:picLocks noChangeAspect="1"/>
                      </pic:cNvPicPr>
                    </pic:nvPicPr>
                    <pic:blipFill>
                      <a:blip r:embed="rId1"/>
                      <a:srcRect l="12624" t="33971" r="5566" b="32045"/>
                      <a:stretch/>
                    </pic:blipFill>
                    <pic:spPr bwMode="auto">
                      <a:xfrm>
                        <a:off x="0" y="0"/>
                        <a:ext cx="1114425" cy="237703"/>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5408;o:allowoverlap:true;o:allowincell:true;mso-position-horizontal-relative:margin;margin-left:-5.25pt;mso-position-horizontal:absolute;mso-position-vertical-relative:text;margin-top:-0.90pt;mso-position-vertical:absolute;width:87.75pt;height:18.72pt;mso-wrap-distance-left:9.00pt;mso-wrap-distance-top:0.00pt;mso-wrap-distance-right:9.00pt;mso-wrap-distance-bottom:0.00pt;z-index:1;" stroked="f">
              <w10:wrap type="square"/>
              <v:imagedata r:id="rId2" o:title=""/>
              <o:lock v:ext="edit" rotation="t"/>
            </v:shape>
          </w:pict>
        </mc:Fallback>
      </mc:AlternateContent>
    </w:r>
    <w:r>
      <w:rPr>
        <w:sz w:val="17"/>
        <w:szCs w:val="17"/>
      </w:rPr>
      <w:t xml:space="preserve">Agreenium, l’Alliance de la Formation et de la Recherche pour l’Agriculture, l’Alimentation, l’Environnement, et la Santé globale </w:t>
    </w:r>
  </w:p>
  <w:p w14:paraId="19E9D018" w14:textId="77777777" w:rsidR="00954261" w:rsidRDefault="009542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E670" w14:textId="77777777" w:rsidR="00954261" w:rsidRDefault="00A50F87">
    <w:pPr>
      <w:pStyle w:val="Pieddepage"/>
      <w:spacing w:line="276" w:lineRule="auto"/>
      <w:jc w:val="center"/>
      <w:rPr>
        <w:sz w:val="16"/>
        <w:szCs w:val="17"/>
      </w:rPr>
    </w:pPr>
    <w:r>
      <w:rPr>
        <w:noProof/>
        <w:sz w:val="20"/>
        <w:lang w:eastAsia="fr-FR"/>
      </w:rPr>
      <mc:AlternateContent>
        <mc:Choice Requires="wpg">
          <w:drawing>
            <wp:anchor distT="0" distB="0" distL="114300" distR="114300" simplePos="0" relativeHeight="251663360" behindDoc="0" locked="0" layoutInCell="1" allowOverlap="1" wp14:anchorId="251CDA21" wp14:editId="5EE8DDAE">
              <wp:simplePos x="0" y="0"/>
              <wp:positionH relativeFrom="margin">
                <wp:align>left</wp:align>
              </wp:positionH>
              <wp:positionV relativeFrom="paragraph">
                <wp:posOffset>4473</wp:posOffset>
              </wp:positionV>
              <wp:extent cx="1114425" cy="237703"/>
              <wp:effectExtent l="0" t="0" r="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eenium_logo_Pantone.png"/>
                      <pic:cNvPicPr>
                        <a:picLocks noChangeAspect="1"/>
                      </pic:cNvPicPr>
                    </pic:nvPicPr>
                    <pic:blipFill>
                      <a:blip r:embed="rId1"/>
                      <a:srcRect l="12624" t="33971" r="5566" b="32045"/>
                      <a:stretch/>
                    </pic:blipFill>
                    <pic:spPr bwMode="auto">
                      <a:xfrm>
                        <a:off x="0" y="0"/>
                        <a:ext cx="1114425" cy="237703"/>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3360;o:allowoverlap:true;o:allowincell:true;mso-position-horizontal-relative:margin;mso-position-horizontal:left;mso-position-vertical-relative:text;margin-top:0.35pt;mso-position-vertical:absolute;width:87.75pt;height:18.72pt;mso-wrap-distance-left:9.00pt;mso-wrap-distance-top:0.00pt;mso-wrap-distance-right:9.00pt;mso-wrap-distance-bottom:0.00pt;z-index:1;" stroked="f">
              <w10:wrap type="square"/>
              <v:imagedata r:id="rId2" o:title=""/>
              <o:lock v:ext="edit" rotation="t"/>
            </v:shape>
          </w:pict>
        </mc:Fallback>
      </mc:AlternateContent>
    </w:r>
    <w:r>
      <w:rPr>
        <w:sz w:val="16"/>
        <w:szCs w:val="17"/>
      </w:rPr>
      <w:t>Agreenium, l’Alliance de la Formation et de la Recherche pour l’Agriculture, l’Alimentation, l’Environnement, et la Santé globale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1870C" w14:textId="77777777" w:rsidR="00315A49" w:rsidRDefault="00315A49">
      <w:pPr>
        <w:spacing w:after="0" w:line="240" w:lineRule="auto"/>
      </w:pPr>
      <w:r>
        <w:separator/>
      </w:r>
    </w:p>
    <w:p w14:paraId="7876B53E" w14:textId="77777777" w:rsidR="00315A49" w:rsidRDefault="00315A49"/>
  </w:footnote>
  <w:footnote w:type="continuationSeparator" w:id="0">
    <w:p w14:paraId="02BFAB04" w14:textId="77777777" w:rsidR="00315A49" w:rsidRDefault="00315A49">
      <w:pPr>
        <w:spacing w:after="0" w:line="240" w:lineRule="auto"/>
      </w:pPr>
      <w:r>
        <w:continuationSeparator/>
      </w:r>
    </w:p>
    <w:p w14:paraId="0E1074A0" w14:textId="77777777" w:rsidR="00315A49" w:rsidRDefault="0031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1636" w14:textId="77777777" w:rsidR="00954261" w:rsidRDefault="00A50F87">
    <w:pPr>
      <w:tabs>
        <w:tab w:val="left" w:pos="2513"/>
      </w:tabs>
      <w:spacing w:before="100" w:beforeAutospacing="1" w:after="100" w:afterAutospacing="1" w:line="240" w:lineRule="auto"/>
      <w:rPr>
        <w:rFonts w:ascii="Times New Roman" w:eastAsia="Times New Roman" w:hAnsi="Times New Roman" w:cs="Times New Roman"/>
        <w:sz w:val="24"/>
        <w:szCs w:val="24"/>
        <w:lang w:eastAsia="fr-FR"/>
      </w:rPr>
    </w:pPr>
    <w:r>
      <w:rPr>
        <w:noProof/>
      </w:rPr>
      <mc:AlternateContent>
        <mc:Choice Requires="wpg">
          <w:drawing>
            <wp:anchor distT="0" distB="0" distL="114300" distR="114300" simplePos="0" relativeHeight="251661312" behindDoc="1" locked="0" layoutInCell="1" allowOverlap="1" wp14:anchorId="62CE444F" wp14:editId="1E1F77DF">
              <wp:simplePos x="0" y="0"/>
              <wp:positionH relativeFrom="margin">
                <wp:posOffset>2688590</wp:posOffset>
              </wp:positionH>
              <wp:positionV relativeFrom="paragraph">
                <wp:posOffset>-374319</wp:posOffset>
              </wp:positionV>
              <wp:extent cx="738505" cy="700405"/>
              <wp:effectExtent l="0" t="0" r="4445" b="4445"/>
              <wp:wrapNone/>
              <wp:docPr id="1" name="Image 4" descr="Une image contenant Graphique, cerc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91845" name="Image 1" descr="Une image contenant Graphique, cercle, conception&#10;&#10;Description générée automatiquement"/>
                      <pic:cNvPicPr>
                        <a:picLocks noChangeAspect="1"/>
                      </pic:cNvPicPr>
                    </pic:nvPicPr>
                    <pic:blipFill>
                      <a:blip r:embed="rId1"/>
                      <a:stretch/>
                    </pic:blipFill>
                    <pic:spPr bwMode="auto">
                      <a:xfrm>
                        <a:off x="0" y="0"/>
                        <a:ext cx="738505" cy="700405"/>
                      </a:xfrm>
                      <a:prstGeom prst="rect">
                        <a:avLst/>
                      </a:prstGeom>
                    </pic:spPr>
                  </pic:pic>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1312;o:allowoverlap:true;o:allowincell:true;mso-position-horizontal-relative:margin;margin-left:211.70pt;mso-position-horizontal:absolute;mso-position-vertical-relative:text;margin-top:-29.47pt;mso-position-vertical:absolute;width:58.15pt;height:55.15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0A2E" w14:textId="77777777" w:rsidR="00954261" w:rsidRDefault="00A50F87">
    <w:pPr>
      <w:pStyle w:val="En-tte"/>
    </w:pPr>
    <w:r>
      <w:rPr>
        <w:noProof/>
      </w:rPr>
      <mc:AlternateContent>
        <mc:Choice Requires="wpg">
          <w:drawing>
            <wp:anchor distT="0" distB="0" distL="114300" distR="114300" simplePos="0" relativeHeight="251659264" behindDoc="1" locked="0" layoutInCell="1" allowOverlap="1" wp14:anchorId="1BFCD69D" wp14:editId="4DC1F690">
              <wp:simplePos x="0" y="0"/>
              <wp:positionH relativeFrom="margin">
                <wp:posOffset>2688590</wp:posOffset>
              </wp:positionH>
              <wp:positionV relativeFrom="paragraph">
                <wp:posOffset>-385335</wp:posOffset>
              </wp:positionV>
              <wp:extent cx="738505" cy="700405"/>
              <wp:effectExtent l="0" t="0" r="4445" b="4445"/>
              <wp:wrapNone/>
              <wp:docPr id="2" name="Image 1" descr="Une image contenant Graphique, cerc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91845" name="Image 1" descr="Une image contenant Graphique, cercle, conception&#10;&#10;Description générée automatiquement"/>
                      <pic:cNvPicPr>
                        <a:picLocks noChangeAspect="1"/>
                      </pic:cNvPicPr>
                    </pic:nvPicPr>
                    <pic:blipFill>
                      <a:blip r:embed="rId1"/>
                      <a:stretch/>
                    </pic:blipFill>
                    <pic:spPr bwMode="auto">
                      <a:xfrm>
                        <a:off x="0" y="0"/>
                        <a:ext cx="738505" cy="700405"/>
                      </a:xfrm>
                      <a:prstGeom prst="rect">
                        <a:avLst/>
                      </a:prstGeom>
                    </pic:spPr>
                  </pic:pic>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margin;margin-left:211.70pt;mso-position-horizontal:absolute;mso-position-vertical-relative:text;margin-top:-30.34pt;mso-position-vertical:absolute;width:58.15pt;height:55.15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444"/>
    <w:multiLevelType w:val="multilevel"/>
    <w:tmpl w:val="89FE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6CCA"/>
    <w:multiLevelType w:val="multilevel"/>
    <w:tmpl w:val="975E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3C06"/>
    <w:multiLevelType w:val="multilevel"/>
    <w:tmpl w:val="D8FAA0B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96063"/>
    <w:multiLevelType w:val="multilevel"/>
    <w:tmpl w:val="117AE20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FF952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51772"/>
    <w:multiLevelType w:val="multilevel"/>
    <w:tmpl w:val="703AC32C"/>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ADF6EFA"/>
    <w:multiLevelType w:val="multilevel"/>
    <w:tmpl w:val="9258C158"/>
    <w:lvl w:ilvl="0">
      <w:start w:val="1"/>
      <w:numFmt w:val="bullet"/>
      <w:lvlText w:val=""/>
      <w:lvlJc w:val="left"/>
      <w:pPr>
        <w:ind w:left="720" w:hanging="360"/>
      </w:pPr>
      <w:rPr>
        <w:rFonts w:ascii="Symbol" w:eastAsia="Symbol" w:hAnsi="Symbol" w:cs="Symbol" w:hint="default"/>
      </w:rPr>
    </w:lvl>
    <w:lvl w:ilvl="1">
      <w:start w:val="1"/>
      <w:numFmt w:val="bullet"/>
      <w:lvlText w:val=""/>
      <w:lvlJc w:val="left"/>
      <w:pPr>
        <w:ind w:left="1440" w:hanging="360"/>
      </w:pPr>
      <w:rPr>
        <w:rFonts w:ascii="Symbol" w:eastAsia="Symbol" w:hAnsi="Symbol" w:cs="Symbol" w:hint="default"/>
      </w:rPr>
    </w:lvl>
    <w:lvl w:ilvl="2">
      <w:start w:val="1"/>
      <w:numFmt w:val="bullet"/>
      <w:lvlText w:val=""/>
      <w:lvlJc w:val="left"/>
      <w:pPr>
        <w:ind w:left="2160" w:hanging="360"/>
      </w:pPr>
      <w:rPr>
        <w:rFonts w:ascii="Symbol" w:eastAsia="Symbol" w:hAnsi="Symbol" w:cs="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
      <w:lvlJc w:val="left"/>
      <w:pPr>
        <w:ind w:left="3600" w:hanging="360"/>
      </w:pPr>
      <w:rPr>
        <w:rFonts w:ascii="Symbol" w:eastAsia="Symbol" w:hAnsi="Symbol" w:cs="Symbol" w:hint="default"/>
      </w:rPr>
    </w:lvl>
    <w:lvl w:ilvl="5">
      <w:start w:val="1"/>
      <w:numFmt w:val="bullet"/>
      <w:lvlText w:val=""/>
      <w:lvlJc w:val="left"/>
      <w:pPr>
        <w:ind w:left="4320" w:hanging="360"/>
      </w:pPr>
      <w:rPr>
        <w:rFonts w:ascii="Symbol" w:eastAsia="Symbol" w:hAnsi="Symbol" w:cs="Symbol"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
      <w:lvlJc w:val="left"/>
      <w:pPr>
        <w:ind w:left="5760" w:hanging="360"/>
      </w:pPr>
      <w:rPr>
        <w:rFonts w:ascii="Symbol" w:eastAsia="Symbol" w:hAnsi="Symbol" w:cs="Symbol" w:hint="default"/>
      </w:rPr>
    </w:lvl>
    <w:lvl w:ilvl="8">
      <w:start w:val="1"/>
      <w:numFmt w:val="bullet"/>
      <w:lvlText w:val=""/>
      <w:lvlJc w:val="left"/>
      <w:pPr>
        <w:ind w:left="6480" w:hanging="360"/>
      </w:pPr>
      <w:rPr>
        <w:rFonts w:ascii="Symbol" w:eastAsia="Symbol" w:hAnsi="Symbol" w:cs="Symbol" w:hint="default"/>
      </w:rPr>
    </w:lvl>
  </w:abstractNum>
  <w:abstractNum w:abstractNumId="7" w15:restartNumberingAfterBreak="0">
    <w:nsid w:val="2D55416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D172E2"/>
    <w:multiLevelType w:val="multilevel"/>
    <w:tmpl w:val="57B2B41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58980DF4"/>
    <w:multiLevelType w:val="multilevel"/>
    <w:tmpl w:val="F3941F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0E2679"/>
    <w:multiLevelType w:val="multilevel"/>
    <w:tmpl w:val="37C4C1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E42FAA"/>
    <w:multiLevelType w:val="multilevel"/>
    <w:tmpl w:val="B40473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F0BB7"/>
    <w:multiLevelType w:val="multilevel"/>
    <w:tmpl w:val="1E5034DA"/>
    <w:lvl w:ilvl="0">
      <w:start w:val="1"/>
      <w:numFmt w:val="decimal"/>
      <w:lvlText w:val="%1."/>
      <w:lvlJc w:val="left"/>
      <w:pPr>
        <w:tabs>
          <w:tab w:val="num" w:pos="927"/>
        </w:tabs>
        <w:ind w:left="927" w:hanging="360"/>
      </w:pPr>
      <w:rPr>
        <w:rFonts w:asciiTheme="minorHAnsi" w:hAnsiTheme="minorHAnsi" w:cstheme="minorHAnsi" w:hint="default"/>
        <w:b w:val="0"/>
        <w:sz w:val="22"/>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3" w15:restartNumberingAfterBreak="0">
    <w:nsid w:val="71092D31"/>
    <w:multiLevelType w:val="multilevel"/>
    <w:tmpl w:val="F62C9C14"/>
    <w:lvl w:ilvl="0">
      <w:start w:val="1"/>
      <w:numFmt w:val="bullet"/>
      <w:lvlText w:val="·"/>
      <w:lvlJc w:val="left"/>
      <w:pPr>
        <w:ind w:left="709" w:hanging="360"/>
      </w:pPr>
      <w:rPr>
        <w:rFonts w:ascii="Symbol" w:eastAsia="Symbol" w:hAnsi="Symbol" w:cs="Symbol" w:hint="default"/>
        <w:color w:val="292828"/>
        <w:sz w:val="24"/>
      </w:rPr>
    </w:lvl>
    <w:lvl w:ilvl="1">
      <w:start w:val="1"/>
      <w:numFmt w:val="bullet"/>
      <w:lvlText w:val="·"/>
      <w:lvlJc w:val="left"/>
      <w:pPr>
        <w:ind w:left="1429" w:hanging="360"/>
      </w:pPr>
      <w:rPr>
        <w:rFonts w:ascii="Symbol" w:eastAsia="Symbol" w:hAnsi="Symbol" w:cs="Symbol" w:hint="default"/>
        <w:color w:val="292828"/>
        <w:sz w:val="24"/>
      </w:rPr>
    </w:lvl>
    <w:lvl w:ilvl="2">
      <w:start w:val="1"/>
      <w:numFmt w:val="bullet"/>
      <w:lvlText w:val="·"/>
      <w:lvlJc w:val="left"/>
      <w:pPr>
        <w:ind w:left="2149" w:hanging="360"/>
      </w:pPr>
      <w:rPr>
        <w:rFonts w:ascii="Symbol" w:eastAsia="Symbol" w:hAnsi="Symbol" w:cs="Symbol" w:hint="default"/>
        <w:color w:val="292828"/>
        <w:sz w:val="24"/>
      </w:rPr>
    </w:lvl>
    <w:lvl w:ilvl="3">
      <w:start w:val="1"/>
      <w:numFmt w:val="bullet"/>
      <w:lvlText w:val="·"/>
      <w:lvlJc w:val="left"/>
      <w:pPr>
        <w:ind w:left="2869" w:hanging="360"/>
      </w:pPr>
      <w:rPr>
        <w:rFonts w:ascii="Symbol" w:eastAsia="Symbol" w:hAnsi="Symbol" w:cs="Symbol" w:hint="default"/>
        <w:color w:val="292828"/>
        <w:sz w:val="24"/>
      </w:rPr>
    </w:lvl>
    <w:lvl w:ilvl="4">
      <w:start w:val="1"/>
      <w:numFmt w:val="bullet"/>
      <w:lvlText w:val="·"/>
      <w:lvlJc w:val="left"/>
      <w:pPr>
        <w:ind w:left="3589" w:hanging="360"/>
      </w:pPr>
      <w:rPr>
        <w:rFonts w:ascii="Symbol" w:eastAsia="Symbol" w:hAnsi="Symbol" w:cs="Symbol" w:hint="default"/>
        <w:color w:val="292828"/>
        <w:sz w:val="24"/>
      </w:rPr>
    </w:lvl>
    <w:lvl w:ilvl="5">
      <w:start w:val="1"/>
      <w:numFmt w:val="bullet"/>
      <w:lvlText w:val="·"/>
      <w:lvlJc w:val="left"/>
      <w:pPr>
        <w:ind w:left="4309" w:hanging="360"/>
      </w:pPr>
      <w:rPr>
        <w:rFonts w:ascii="Symbol" w:eastAsia="Symbol" w:hAnsi="Symbol" w:cs="Symbol" w:hint="default"/>
        <w:color w:val="292828"/>
        <w:sz w:val="24"/>
      </w:rPr>
    </w:lvl>
    <w:lvl w:ilvl="6">
      <w:start w:val="1"/>
      <w:numFmt w:val="bullet"/>
      <w:lvlText w:val="·"/>
      <w:lvlJc w:val="left"/>
      <w:pPr>
        <w:ind w:left="5029" w:hanging="360"/>
      </w:pPr>
      <w:rPr>
        <w:rFonts w:ascii="Symbol" w:eastAsia="Symbol" w:hAnsi="Symbol" w:cs="Symbol" w:hint="default"/>
        <w:color w:val="292828"/>
        <w:sz w:val="24"/>
      </w:rPr>
    </w:lvl>
    <w:lvl w:ilvl="7">
      <w:start w:val="1"/>
      <w:numFmt w:val="bullet"/>
      <w:lvlText w:val="·"/>
      <w:lvlJc w:val="left"/>
      <w:pPr>
        <w:ind w:left="5749" w:hanging="360"/>
      </w:pPr>
      <w:rPr>
        <w:rFonts w:ascii="Symbol" w:eastAsia="Symbol" w:hAnsi="Symbol" w:cs="Symbol" w:hint="default"/>
        <w:color w:val="292828"/>
        <w:sz w:val="24"/>
      </w:rPr>
    </w:lvl>
    <w:lvl w:ilvl="8">
      <w:start w:val="1"/>
      <w:numFmt w:val="bullet"/>
      <w:lvlText w:val="·"/>
      <w:lvlJc w:val="left"/>
      <w:pPr>
        <w:ind w:left="6469" w:hanging="360"/>
      </w:pPr>
      <w:rPr>
        <w:rFonts w:ascii="Symbol" w:eastAsia="Symbol" w:hAnsi="Symbol" w:cs="Symbol" w:hint="default"/>
        <w:color w:val="292828"/>
        <w:sz w:val="24"/>
      </w:rPr>
    </w:lvl>
  </w:abstractNum>
  <w:abstractNum w:abstractNumId="14" w15:restartNumberingAfterBreak="0">
    <w:nsid w:val="75882250"/>
    <w:multiLevelType w:val="multilevel"/>
    <w:tmpl w:val="040C001F"/>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A93B76"/>
    <w:multiLevelType w:val="multilevel"/>
    <w:tmpl w:val="97C61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BD7C78"/>
    <w:multiLevelType w:val="multilevel"/>
    <w:tmpl w:val="D5B8922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D8F3036"/>
    <w:multiLevelType w:val="multilevel"/>
    <w:tmpl w:val="6DE0AD2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1"/>
  </w:num>
  <w:num w:numId="2">
    <w:abstractNumId w:val="12"/>
  </w:num>
  <w:num w:numId="3">
    <w:abstractNumId w:val="0"/>
  </w:num>
  <w:num w:numId="4">
    <w:abstractNumId w:val="17"/>
  </w:num>
  <w:num w:numId="5">
    <w:abstractNumId w:val="11"/>
  </w:num>
  <w:num w:numId="6">
    <w:abstractNumId w:val="5"/>
  </w:num>
  <w:num w:numId="7">
    <w:abstractNumId w:val="8"/>
  </w:num>
  <w:num w:numId="8">
    <w:abstractNumId w:val="6"/>
  </w:num>
  <w:num w:numId="9">
    <w:abstractNumId w:val="13"/>
  </w:num>
  <w:num w:numId="10">
    <w:abstractNumId w:val="3"/>
  </w:num>
  <w:num w:numId="11">
    <w:abstractNumId w:val="16"/>
  </w:num>
  <w:num w:numId="12">
    <w:abstractNumId w:val="15"/>
  </w:num>
  <w:num w:numId="13">
    <w:abstractNumId w:val="10"/>
    <w:lvlOverride w:ilvl="0">
      <w:lvl w:ilvl="0">
        <w:numFmt w:val="decimal"/>
        <w:lvlText w:val="%1."/>
        <w:lvlJc w:val="left"/>
      </w:lvl>
    </w:lvlOverride>
  </w:num>
  <w:num w:numId="14">
    <w:abstractNumId w:val="9"/>
  </w:num>
  <w:num w:numId="15">
    <w:abstractNumId w:val="14"/>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61"/>
    <w:rsid w:val="00315A49"/>
    <w:rsid w:val="00954261"/>
    <w:rsid w:val="009C2A5A"/>
    <w:rsid w:val="00A02C1B"/>
    <w:rsid w:val="00A5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93C"/>
  <w15:docId w15:val="{0B9192EB-CB7B-4F30-892F-2A883212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yle1"/>
    <w:next w:val="Normal"/>
    <w:link w:val="Titre1Car"/>
    <w:uiPriority w:val="9"/>
    <w:qFormat/>
    <w:pPr>
      <w:numPr>
        <w:numId w:val="15"/>
      </w:numPr>
      <w:outlineLvl w:val="0"/>
    </w:pPr>
  </w:style>
  <w:style w:type="paragraph" w:styleId="Titre2">
    <w:name w:val="heading 2"/>
    <w:basedOn w:val="Style2"/>
    <w:next w:val="Normal"/>
    <w:link w:val="Titre2Car"/>
    <w:uiPriority w:val="9"/>
    <w:unhideWhenUsed/>
    <w:qFormat/>
    <w:pPr>
      <w:numPr>
        <w:ilvl w:val="1"/>
        <w:numId w:val="15"/>
      </w:numPr>
      <w:outlineLvl w:val="1"/>
    </w:p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ll Round Gothic Demi" w:eastAsia="Times New Roman" w:hAnsi="All Round Gothic Demi" w:cs="Times New Roman"/>
      <w:b/>
      <w:bCs/>
      <w:color w:val="0EA242"/>
      <w:sz w:val="24"/>
      <w:szCs w:val="24"/>
      <w:lang w:eastAsia="fr-FR"/>
    </w:rPr>
  </w:style>
  <w:style w:type="character" w:customStyle="1" w:styleId="Titre2Car">
    <w:name w:val="Titre 2 Car"/>
    <w:basedOn w:val="Policepardfaut"/>
    <w:link w:val="Titre2"/>
    <w:uiPriority w:val="9"/>
    <w:rPr>
      <w:rFonts w:ascii="All Round Gothic Demi" w:eastAsia="Times New Roman" w:hAnsi="All Round Gothic Demi" w:cs="Times New Roman"/>
      <w:b/>
      <w:bCs/>
      <w:color w:val="008DD4"/>
      <w:sz w:val="24"/>
      <w:szCs w:val="24"/>
      <w:lang w:eastAsia="fr-FR"/>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000FF"/>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Style1">
    <w:name w:val="Style1"/>
    <w:basedOn w:val="Normal"/>
    <w:link w:val="Style1Car"/>
    <w:qFormat/>
    <w:pPr>
      <w:widowControl w:val="0"/>
      <w:pBdr>
        <w:top w:val="single" w:sz="6" w:space="0" w:color="00000A"/>
        <w:left w:val="single" w:sz="6" w:space="0" w:color="00000A"/>
        <w:bottom w:val="single" w:sz="6" w:space="0" w:color="00000A"/>
        <w:right w:val="single" w:sz="6" w:space="0" w:color="00000A"/>
      </w:pBdr>
      <w:spacing w:line="276" w:lineRule="auto"/>
      <w:ind w:right="57"/>
      <w:jc w:val="center"/>
    </w:pPr>
    <w:rPr>
      <w:rFonts w:ascii="All Round Gothic Demi" w:eastAsia="Times New Roman" w:hAnsi="All Round Gothic Demi" w:cs="Times New Roman"/>
      <w:b/>
      <w:bCs/>
      <w:color w:val="0EA242"/>
      <w:sz w:val="24"/>
      <w:szCs w:val="24"/>
      <w:lang w:eastAsia="fr-FR"/>
    </w:rPr>
  </w:style>
  <w:style w:type="paragraph" w:customStyle="1" w:styleId="Style2">
    <w:name w:val="Style2"/>
    <w:basedOn w:val="Normal"/>
    <w:link w:val="Style2Car"/>
    <w:qFormat/>
    <w:pPr>
      <w:widowControl w:val="0"/>
      <w:tabs>
        <w:tab w:val="left" w:pos="820"/>
      </w:tabs>
      <w:spacing w:line="276" w:lineRule="auto"/>
      <w:jc w:val="both"/>
    </w:pPr>
    <w:rPr>
      <w:rFonts w:ascii="All Round Gothic Demi" w:eastAsia="Times New Roman" w:hAnsi="All Round Gothic Demi" w:cs="Times New Roman"/>
      <w:b/>
      <w:bCs/>
      <w:color w:val="008DD4"/>
      <w:sz w:val="24"/>
      <w:szCs w:val="24"/>
      <w:lang w:eastAsia="fr-FR"/>
    </w:rPr>
  </w:style>
  <w:style w:type="character" w:customStyle="1" w:styleId="Style1Car">
    <w:name w:val="Style1 Car"/>
    <w:basedOn w:val="Policepardfaut"/>
    <w:link w:val="Style1"/>
    <w:rPr>
      <w:rFonts w:ascii="All Round Gothic Demi" w:eastAsia="Times New Roman" w:hAnsi="All Round Gothic Demi" w:cs="Times New Roman"/>
      <w:b/>
      <w:bCs/>
      <w:color w:val="0EA242"/>
      <w:sz w:val="24"/>
      <w:szCs w:val="24"/>
      <w:lang w:eastAsia="fr-FR"/>
    </w:rPr>
  </w:style>
  <w:style w:type="table" w:styleId="Grilledetableauclaire">
    <w:name w:val="Grid Table Light"/>
    <w:basedOn w:val="Tableau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Car">
    <w:name w:val="Style2 Car"/>
    <w:basedOn w:val="Policepardfaut"/>
    <w:link w:val="Style2"/>
    <w:rPr>
      <w:rFonts w:ascii="All Round Gothic Demi" w:eastAsia="Times New Roman" w:hAnsi="All Round Gothic Demi" w:cs="Times New Roman"/>
      <w:b/>
      <w:bCs/>
      <w:color w:val="008DD4"/>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reenmob@agreenium.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greenmob@agreenium.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mpusfrance.org/fr/procedure-etudes-en-Fr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reenmob@agreenium.fr" TargetMode="External"/><Relationship Id="rId5" Type="http://schemas.openxmlformats.org/officeDocument/2006/relationships/styles" Target="styles.xml"/><Relationship Id="rId15" Type="http://schemas.openxmlformats.org/officeDocument/2006/relationships/hyperlink" Target="https://www.senegal.campusfrance.org" TargetMode="External"/><Relationship Id="rId10" Type="http://schemas.openxmlformats.org/officeDocument/2006/relationships/hyperlink" Target="mailto:agreenmob@agreenium.f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pusfrance.org/fr/preparer-budget-etudiant-Fran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21EF6B68-FF6E-4D35-9F55-B184EE6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3113</Words>
  <Characters>17122</Characters>
  <Application>Microsoft Office Word</Application>
  <DocSecurity>0</DocSecurity>
  <Lines>142</Lines>
  <Paragraphs>40</Paragraphs>
  <ScaleCrop>false</ScaleCrop>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Maria-Eugénia LE GOURRIEREC</dc:creator>
  <cp:keywords/>
  <dc:description/>
  <cp:lastModifiedBy>Emma Doan</cp:lastModifiedBy>
  <cp:revision>90</cp:revision>
  <dcterms:created xsi:type="dcterms:W3CDTF">2023-12-21T15:09:00Z</dcterms:created>
  <dcterms:modified xsi:type="dcterms:W3CDTF">2024-12-06T14:51:00Z</dcterms:modified>
</cp:coreProperties>
</file>